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A" w:rsidRPr="00DA1693" w:rsidRDefault="00540F75">
      <w:pPr>
        <w:rPr>
          <w:rFonts w:ascii="Verdana" w:hAnsi="Verdana"/>
          <w:sz w:val="20"/>
          <w:szCs w:val="20"/>
        </w:rPr>
      </w:pPr>
      <w:r w:rsidRPr="00DA1693">
        <w:rPr>
          <w:rFonts w:ascii="Verdana" w:hAnsi="Verdana"/>
          <w:sz w:val="20"/>
          <w:szCs w:val="20"/>
        </w:rPr>
        <w:t>Persbericht Minister van Werk Monica De Coninck</w:t>
      </w:r>
    </w:p>
    <w:p w:rsidR="00472B12" w:rsidRPr="005F7EC1" w:rsidRDefault="00472B12" w:rsidP="00DC35F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Uitbreiding Ouderschapsverlof</w:t>
      </w:r>
    </w:p>
    <w:p w:rsidR="00B165FC" w:rsidRPr="00B165FC" w:rsidRDefault="00B165FC" w:rsidP="00DC35F4">
      <w:pPr>
        <w:rPr>
          <w:rFonts w:ascii="Verdana" w:hAnsi="Verdana"/>
          <w:i/>
          <w:sz w:val="20"/>
          <w:szCs w:val="20"/>
        </w:rPr>
      </w:pPr>
      <w:r w:rsidRPr="00B165FC">
        <w:rPr>
          <w:rFonts w:ascii="Verdana" w:hAnsi="Verdana"/>
          <w:i/>
          <w:sz w:val="20"/>
          <w:szCs w:val="20"/>
        </w:rPr>
        <w:t xml:space="preserve">De ministerraad besliste vandaag op initiatief van minister </w:t>
      </w:r>
      <w:r>
        <w:rPr>
          <w:rFonts w:ascii="Verdana" w:hAnsi="Verdana"/>
          <w:i/>
          <w:sz w:val="20"/>
          <w:szCs w:val="20"/>
        </w:rPr>
        <w:t>De Coninck en staat</w:t>
      </w:r>
      <w:r w:rsidRPr="00B165FC">
        <w:rPr>
          <w:rFonts w:ascii="Verdana" w:hAnsi="Verdana"/>
          <w:i/>
          <w:sz w:val="20"/>
          <w:szCs w:val="20"/>
        </w:rPr>
        <w:t xml:space="preserve">ssecretaris </w:t>
      </w:r>
      <w:proofErr w:type="spellStart"/>
      <w:r w:rsidRPr="00B165FC">
        <w:rPr>
          <w:rFonts w:ascii="Verdana" w:hAnsi="Verdana"/>
          <w:i/>
          <w:sz w:val="20"/>
          <w:szCs w:val="20"/>
        </w:rPr>
        <w:t>Courard</w:t>
      </w:r>
      <w:proofErr w:type="spellEnd"/>
      <w:r w:rsidRPr="00B165FC">
        <w:rPr>
          <w:rFonts w:ascii="Verdana" w:hAnsi="Verdana"/>
          <w:i/>
          <w:sz w:val="20"/>
          <w:szCs w:val="20"/>
        </w:rPr>
        <w:t xml:space="preserve"> om het ouderschapsverlof uit te breiden van 3 naar 4 maanden, in omzetting van de Europese richtlijn</w:t>
      </w:r>
      <w:r w:rsidRPr="00B165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65FC">
        <w:rPr>
          <w:rFonts w:ascii="Arial" w:hAnsi="Arial" w:cs="Arial"/>
          <w:bCs/>
          <w:i/>
          <w:sz w:val="18"/>
          <w:szCs w:val="18"/>
        </w:rPr>
        <w:t>2010/18/EU</w:t>
      </w:r>
      <w:r>
        <w:rPr>
          <w:rFonts w:ascii="Verdana" w:hAnsi="Verdana"/>
          <w:i/>
          <w:sz w:val="20"/>
          <w:szCs w:val="20"/>
        </w:rPr>
        <w:t>.</w:t>
      </w:r>
    </w:p>
    <w:p w:rsidR="00472B12" w:rsidRPr="00472B12" w:rsidRDefault="00472B12" w:rsidP="00DC35F4">
      <w:pPr>
        <w:rPr>
          <w:rFonts w:ascii="Verdana" w:hAnsi="Verdana"/>
          <w:sz w:val="20"/>
          <w:szCs w:val="20"/>
        </w:rPr>
      </w:pPr>
      <w:r w:rsidRPr="00472B12">
        <w:rPr>
          <w:rFonts w:ascii="Verdana" w:hAnsi="Verdana"/>
          <w:sz w:val="20"/>
          <w:szCs w:val="20"/>
        </w:rPr>
        <w:t>Een gezin en een job combineren is voor jonge ouders niet altijd gemakkelijk. Niet zelden wordt h</w:t>
      </w:r>
      <w:r w:rsidR="00463056">
        <w:rPr>
          <w:rFonts w:ascii="Verdana" w:hAnsi="Verdana"/>
          <w:sz w:val="20"/>
          <w:szCs w:val="20"/>
        </w:rPr>
        <w:t>et éé</w:t>
      </w:r>
      <w:r w:rsidR="005F7EC1">
        <w:rPr>
          <w:rFonts w:ascii="Verdana" w:hAnsi="Verdana"/>
          <w:sz w:val="20"/>
          <w:szCs w:val="20"/>
        </w:rPr>
        <w:t xml:space="preserve">n </w:t>
      </w:r>
      <w:r w:rsidR="00463056">
        <w:rPr>
          <w:rFonts w:ascii="Verdana" w:hAnsi="Verdana"/>
          <w:sz w:val="20"/>
          <w:szCs w:val="20"/>
        </w:rPr>
        <w:t xml:space="preserve">een </w:t>
      </w:r>
      <w:r w:rsidR="005F7EC1">
        <w:rPr>
          <w:rFonts w:ascii="Verdana" w:hAnsi="Verdana"/>
          <w:sz w:val="20"/>
          <w:szCs w:val="20"/>
        </w:rPr>
        <w:t xml:space="preserve">stuk </w:t>
      </w:r>
      <w:r w:rsidRPr="00472B12">
        <w:rPr>
          <w:rFonts w:ascii="Verdana" w:hAnsi="Verdana"/>
          <w:sz w:val="20"/>
          <w:szCs w:val="20"/>
        </w:rPr>
        <w:t>opgeoffer</w:t>
      </w:r>
      <w:r>
        <w:rPr>
          <w:rFonts w:ascii="Verdana" w:hAnsi="Verdana"/>
          <w:sz w:val="20"/>
          <w:szCs w:val="20"/>
        </w:rPr>
        <w:t xml:space="preserve">d ten koste van </w:t>
      </w:r>
      <w:r w:rsidRPr="00472B12">
        <w:rPr>
          <w:rFonts w:ascii="Verdana" w:hAnsi="Verdana"/>
          <w:sz w:val="20"/>
          <w:szCs w:val="20"/>
        </w:rPr>
        <w:t>het andere. Dat is geen goede zaak, niet voor het gezin, maar ook niet voor de werkgever. Want een werkn</w:t>
      </w:r>
      <w:r>
        <w:rPr>
          <w:rFonts w:ascii="Verdana" w:hAnsi="Verdana"/>
          <w:sz w:val="20"/>
          <w:szCs w:val="20"/>
        </w:rPr>
        <w:t>e</w:t>
      </w:r>
      <w:r w:rsidRPr="00472B12">
        <w:rPr>
          <w:rFonts w:ascii="Verdana" w:hAnsi="Verdana"/>
          <w:sz w:val="20"/>
          <w:szCs w:val="20"/>
        </w:rPr>
        <w:t>mer die zich goed voelt, presteert beter.</w:t>
      </w:r>
    </w:p>
    <w:p w:rsidR="005F7EC1" w:rsidRDefault="00472B12" w:rsidP="00DC35F4">
      <w:pPr>
        <w:rPr>
          <w:rFonts w:ascii="Verdana" w:hAnsi="Verdana"/>
          <w:sz w:val="20"/>
          <w:szCs w:val="20"/>
        </w:rPr>
      </w:pPr>
      <w:r w:rsidRPr="00472B12">
        <w:rPr>
          <w:rFonts w:ascii="Verdana" w:hAnsi="Verdana"/>
          <w:sz w:val="20"/>
          <w:szCs w:val="20"/>
        </w:rPr>
        <w:t>Daarom werd het ouderschapsverlof in het leven geroepen</w:t>
      </w:r>
      <w:r w:rsidR="005F7EC1">
        <w:rPr>
          <w:rFonts w:ascii="Verdana" w:hAnsi="Verdana"/>
          <w:sz w:val="20"/>
          <w:szCs w:val="20"/>
        </w:rPr>
        <w:t>.</w:t>
      </w:r>
      <w:r w:rsidRPr="00472B12">
        <w:rPr>
          <w:rFonts w:ascii="Verdana" w:hAnsi="Verdana"/>
          <w:sz w:val="20"/>
          <w:szCs w:val="20"/>
        </w:rPr>
        <w:t xml:space="preserve"> Het is e</w:t>
      </w:r>
      <w:r w:rsidR="005F7EC1">
        <w:rPr>
          <w:rFonts w:ascii="Verdana" w:hAnsi="Verdana"/>
          <w:sz w:val="20"/>
          <w:szCs w:val="20"/>
        </w:rPr>
        <w:t>en</w:t>
      </w:r>
      <w:r w:rsidRPr="00472B12">
        <w:rPr>
          <w:rFonts w:ascii="Verdana" w:hAnsi="Verdana"/>
          <w:sz w:val="20"/>
          <w:szCs w:val="20"/>
        </w:rPr>
        <w:t xml:space="preserve"> flexibele vorm van tijdkrediet.</w:t>
      </w:r>
      <w:r w:rsidRPr="00472B12">
        <w:rPr>
          <w:rFonts w:ascii="Verdana" w:hAnsi="Verdana"/>
          <w:sz w:val="28"/>
          <w:szCs w:val="28"/>
        </w:rPr>
        <w:t xml:space="preserve"> </w:t>
      </w:r>
      <w:r w:rsidR="00540F75" w:rsidRPr="00472B12">
        <w:rPr>
          <w:rFonts w:ascii="Verdana" w:hAnsi="Verdana"/>
          <w:sz w:val="20"/>
          <w:szCs w:val="20"/>
        </w:rPr>
        <w:t xml:space="preserve">Jonge ouders kunnen </w:t>
      </w:r>
      <w:r w:rsidR="005F7EC1">
        <w:rPr>
          <w:rFonts w:ascii="Verdana" w:hAnsi="Verdana"/>
          <w:sz w:val="20"/>
          <w:szCs w:val="20"/>
        </w:rPr>
        <w:t xml:space="preserve">momenteel </w:t>
      </w:r>
      <w:r w:rsidR="00540F75" w:rsidRPr="00472B12">
        <w:rPr>
          <w:rFonts w:ascii="Verdana" w:hAnsi="Verdana"/>
          <w:sz w:val="20"/>
          <w:szCs w:val="20"/>
        </w:rPr>
        <w:t>3 maanden</w:t>
      </w:r>
      <w:r w:rsidR="00540F75" w:rsidRPr="00DA1693">
        <w:rPr>
          <w:rFonts w:ascii="Verdana" w:hAnsi="Verdana"/>
          <w:sz w:val="20"/>
          <w:szCs w:val="20"/>
        </w:rPr>
        <w:t xml:space="preserve"> ouderschapsverlof opnemen. Dit v</w:t>
      </w:r>
      <w:r w:rsidR="001049E7" w:rsidRPr="00DA1693">
        <w:rPr>
          <w:rFonts w:ascii="Verdana" w:hAnsi="Verdana"/>
          <w:sz w:val="20"/>
          <w:szCs w:val="20"/>
        </w:rPr>
        <w:t>erlof kan opgenomen worden per</w:t>
      </w:r>
      <w:r w:rsidR="005F7EC1">
        <w:rPr>
          <w:rFonts w:ascii="Verdana" w:hAnsi="Verdana"/>
          <w:sz w:val="20"/>
          <w:szCs w:val="20"/>
        </w:rPr>
        <w:t xml:space="preserve"> maand: voltijds, halftijds of 1/5</w:t>
      </w:r>
      <w:r w:rsidR="00DC35F4" w:rsidRPr="00DA1693">
        <w:rPr>
          <w:rFonts w:ascii="Verdana" w:hAnsi="Verdana"/>
          <w:sz w:val="20"/>
          <w:szCs w:val="20"/>
        </w:rPr>
        <w:t xml:space="preserve">. </w:t>
      </w:r>
    </w:p>
    <w:p w:rsidR="005F7EC1" w:rsidRDefault="005F7EC1" w:rsidP="00DC3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ouderschapsverlof kan opgenomen worden tot het kind 12 jaar is, beide ouders hebben er recht op. </w:t>
      </w:r>
    </w:p>
    <w:p w:rsidR="00472B12" w:rsidRPr="0093393F" w:rsidRDefault="00DC35F4" w:rsidP="00B165FC">
      <w:pPr>
        <w:rPr>
          <w:rFonts w:ascii="Verdana" w:hAnsi="Verdana"/>
          <w:b/>
          <w:sz w:val="28"/>
          <w:szCs w:val="28"/>
        </w:rPr>
      </w:pPr>
      <w:r w:rsidRPr="00DA1693">
        <w:rPr>
          <w:rFonts w:ascii="Verdana" w:hAnsi="Verdana"/>
          <w:sz w:val="20"/>
          <w:szCs w:val="20"/>
        </w:rPr>
        <w:t xml:space="preserve">De werknemer krijgt </w:t>
      </w:r>
      <w:r w:rsidR="005F7EC1">
        <w:rPr>
          <w:rFonts w:ascii="Verdana" w:hAnsi="Verdana"/>
          <w:sz w:val="20"/>
          <w:szCs w:val="20"/>
        </w:rPr>
        <w:t xml:space="preserve">hiervoor </w:t>
      </w:r>
      <w:r w:rsidRPr="00DA1693">
        <w:rPr>
          <w:rFonts w:ascii="Verdana" w:hAnsi="Verdana"/>
          <w:sz w:val="20"/>
          <w:szCs w:val="20"/>
        </w:rPr>
        <w:t xml:space="preserve">een maandelijkse tegemoetkoming van de </w:t>
      </w:r>
      <w:r w:rsidR="005F7EC1">
        <w:rPr>
          <w:rFonts w:ascii="Verdana" w:hAnsi="Verdana"/>
          <w:sz w:val="20"/>
          <w:szCs w:val="20"/>
        </w:rPr>
        <w:t>RVA</w:t>
      </w:r>
      <w:r w:rsidRPr="00DA1693">
        <w:rPr>
          <w:rFonts w:ascii="Verdana" w:hAnsi="Verdana"/>
          <w:sz w:val="20"/>
          <w:szCs w:val="20"/>
        </w:rPr>
        <w:t xml:space="preserve"> van 693.2</w:t>
      </w:r>
      <w:r w:rsidR="005F7EC1">
        <w:rPr>
          <w:rFonts w:ascii="Verdana" w:hAnsi="Verdana"/>
          <w:sz w:val="20"/>
          <w:szCs w:val="20"/>
        </w:rPr>
        <w:t>0€ voor e</w:t>
      </w:r>
      <w:r w:rsidRPr="00DA1693">
        <w:rPr>
          <w:rFonts w:ascii="Verdana" w:hAnsi="Verdana"/>
          <w:sz w:val="20"/>
          <w:szCs w:val="20"/>
        </w:rPr>
        <w:t xml:space="preserve">en voltijdse onderbreking. </w:t>
      </w:r>
      <w:r w:rsidRPr="00472B12">
        <w:rPr>
          <w:rFonts w:ascii="Verdana" w:hAnsi="Verdana"/>
          <w:sz w:val="20"/>
          <w:szCs w:val="20"/>
        </w:rPr>
        <w:t xml:space="preserve">In 2011 maakten 76 000 </w:t>
      </w:r>
      <w:r w:rsidR="00472B12" w:rsidRPr="00472B12">
        <w:rPr>
          <w:rFonts w:ascii="Verdana" w:hAnsi="Verdana"/>
          <w:sz w:val="20"/>
          <w:szCs w:val="20"/>
        </w:rPr>
        <w:t>gebruik van het ouderschapsverlof</w:t>
      </w:r>
      <w:r w:rsidR="00B165FC">
        <w:rPr>
          <w:rFonts w:ascii="Verdana" w:hAnsi="Verdana"/>
          <w:sz w:val="20"/>
          <w:szCs w:val="20"/>
        </w:rPr>
        <w:t xml:space="preserve">. </w:t>
      </w:r>
      <w:r w:rsidR="00472B12">
        <w:rPr>
          <w:rFonts w:ascii="Verdana" w:hAnsi="Verdana"/>
          <w:sz w:val="20"/>
          <w:szCs w:val="20"/>
        </w:rPr>
        <w:t xml:space="preserve"> </w:t>
      </w:r>
      <w:r w:rsidR="00B165FC" w:rsidRPr="00DA1693">
        <w:rPr>
          <w:rFonts w:ascii="Verdana" w:hAnsi="Verdana"/>
          <w:sz w:val="20"/>
          <w:szCs w:val="20"/>
        </w:rPr>
        <w:t xml:space="preserve">73% van het ouderschapsverlof wordt opgenomen door vrouwen, 27% door mannen. </w:t>
      </w:r>
    </w:p>
    <w:p w:rsidR="00472B12" w:rsidRPr="00472B12" w:rsidRDefault="00472B12" w:rsidP="00472B12">
      <w:pPr>
        <w:spacing w:after="0" w:line="240" w:lineRule="auto"/>
        <w:jc w:val="both"/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32"/>
        <w:gridCol w:w="1559"/>
        <w:gridCol w:w="1701"/>
      </w:tblGrid>
      <w:tr w:rsidR="00472B12" w:rsidTr="00472B12">
        <w:trPr>
          <w:trHeight w:val="2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Maand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 w:rsidP="00472B12">
            <w:pPr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Voltijds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Januari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3286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Februari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2595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1976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Maart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2327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April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2674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Mei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2338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Juni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2482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Juli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7085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Augustus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5978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September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2853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Oktober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1871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November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1847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December</w:t>
            </w: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1986</w:t>
            </w:r>
          </w:p>
        </w:tc>
      </w:tr>
      <w:tr w:rsidR="00472B12" w:rsidTr="00472B12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totaal 2011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12" w:rsidRDefault="00472B1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fr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36703</w:t>
            </w:r>
          </w:p>
        </w:tc>
      </w:tr>
    </w:tbl>
    <w:p w:rsidR="00B165FC" w:rsidRDefault="00B165FC" w:rsidP="00540F75">
      <w:pPr>
        <w:rPr>
          <w:rFonts w:ascii="Verdana" w:hAnsi="Verdana"/>
          <w:sz w:val="20"/>
          <w:szCs w:val="20"/>
        </w:rPr>
      </w:pPr>
    </w:p>
    <w:p w:rsidR="005F7EC1" w:rsidRPr="00B165FC" w:rsidRDefault="005F7EC1" w:rsidP="005F7EC1">
      <w:pPr>
        <w:rPr>
          <w:rFonts w:ascii="Verdana" w:hAnsi="Verdana"/>
          <w:b/>
          <w:sz w:val="20"/>
          <w:szCs w:val="20"/>
        </w:rPr>
      </w:pPr>
      <w:r w:rsidRPr="00B165FC">
        <w:rPr>
          <w:rFonts w:ascii="Verdana" w:hAnsi="Verdana"/>
          <w:b/>
          <w:sz w:val="20"/>
          <w:szCs w:val="20"/>
        </w:rPr>
        <w:lastRenderedPageBreak/>
        <w:t xml:space="preserve">Europa vraagt om het ouderschapsverlof uit te breiden van 3 naar 4 maanden. De ministerraad heeft op vraag van minister van werk Monica De Coninck </w:t>
      </w:r>
      <w:r w:rsidR="00B165FC" w:rsidRPr="00B165FC">
        <w:rPr>
          <w:rFonts w:ascii="Verdana" w:hAnsi="Verdana"/>
          <w:b/>
          <w:sz w:val="20"/>
          <w:szCs w:val="20"/>
        </w:rPr>
        <w:t xml:space="preserve">en staatsecretaris </w:t>
      </w:r>
      <w:proofErr w:type="spellStart"/>
      <w:r w:rsidR="00B165FC" w:rsidRPr="00B165FC">
        <w:rPr>
          <w:rFonts w:ascii="Verdana" w:hAnsi="Verdana"/>
          <w:b/>
          <w:sz w:val="20"/>
          <w:szCs w:val="20"/>
        </w:rPr>
        <w:t>Courard</w:t>
      </w:r>
      <w:proofErr w:type="spellEnd"/>
      <w:r w:rsidR="00B165FC" w:rsidRPr="00B165FC">
        <w:rPr>
          <w:rFonts w:ascii="Verdana" w:hAnsi="Verdana"/>
          <w:b/>
          <w:sz w:val="20"/>
          <w:szCs w:val="20"/>
        </w:rPr>
        <w:t xml:space="preserve"> </w:t>
      </w:r>
      <w:r w:rsidRPr="00B165FC">
        <w:rPr>
          <w:rFonts w:ascii="Verdana" w:hAnsi="Verdana"/>
          <w:b/>
          <w:sz w:val="20"/>
          <w:szCs w:val="20"/>
        </w:rPr>
        <w:t>beslist om dit te doen.</w:t>
      </w:r>
    </w:p>
    <w:p w:rsidR="005F7EC1" w:rsidRPr="00B165FC" w:rsidRDefault="00463056" w:rsidP="005F7EC1">
      <w:pPr>
        <w:rPr>
          <w:rFonts w:ascii="Verdana" w:hAnsi="Verdana"/>
          <w:b/>
          <w:sz w:val="20"/>
          <w:szCs w:val="20"/>
        </w:rPr>
      </w:pPr>
      <w:r w:rsidRPr="00B165FC">
        <w:rPr>
          <w:rFonts w:ascii="Verdana" w:hAnsi="Verdana"/>
          <w:b/>
          <w:sz w:val="20"/>
          <w:szCs w:val="20"/>
        </w:rPr>
        <w:t>Bovendien</w:t>
      </w:r>
      <w:r w:rsidR="005F7EC1" w:rsidRPr="00B165FC">
        <w:rPr>
          <w:rFonts w:ascii="Verdana" w:hAnsi="Verdana"/>
          <w:b/>
          <w:sz w:val="20"/>
          <w:szCs w:val="20"/>
        </w:rPr>
        <w:t xml:space="preserve"> werd beslist om, voor alle kinderen geboren na 8/3/2012, voor deze vierde maand, net zoals voor de andere maanden, een u</w:t>
      </w:r>
      <w:r w:rsidR="002204DD">
        <w:rPr>
          <w:rFonts w:ascii="Verdana" w:hAnsi="Verdana"/>
          <w:b/>
          <w:sz w:val="20"/>
          <w:szCs w:val="20"/>
        </w:rPr>
        <w:t>itkering van de RVA te voorzien</w:t>
      </w:r>
      <w:r w:rsidRPr="00B165FC">
        <w:rPr>
          <w:rFonts w:ascii="Verdana" w:hAnsi="Verdana"/>
          <w:b/>
          <w:sz w:val="20"/>
          <w:szCs w:val="20"/>
        </w:rPr>
        <w:t xml:space="preserve">. </w:t>
      </w:r>
    </w:p>
    <w:p w:rsidR="005F7EC1" w:rsidRDefault="005F7EC1" w:rsidP="005F7E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benodigde budget daarvoor wordt geschat op:</w:t>
      </w:r>
    </w:p>
    <w:p w:rsidR="005F7EC1" w:rsidRDefault="005F7EC1" w:rsidP="005F7EC1">
      <w:pPr>
        <w:numPr>
          <w:ilvl w:val="0"/>
          <w:numId w:val="7"/>
        </w:numPr>
        <w:spacing w:after="0" w:line="240" w:lineRule="auto"/>
        <w:jc w:val="both"/>
      </w:pPr>
      <w:r>
        <w:t>2012</w:t>
      </w:r>
      <w:r>
        <w:tab/>
        <w:t>2.216.000 euro</w:t>
      </w:r>
    </w:p>
    <w:p w:rsidR="005F7EC1" w:rsidRDefault="005F7EC1" w:rsidP="005F7EC1">
      <w:pPr>
        <w:numPr>
          <w:ilvl w:val="0"/>
          <w:numId w:val="7"/>
        </w:numPr>
        <w:spacing w:after="0" w:line="240" w:lineRule="auto"/>
        <w:jc w:val="both"/>
      </w:pPr>
      <w:r>
        <w:t>2013</w:t>
      </w:r>
      <w:r>
        <w:tab/>
        <w:t>5.545.455 euro</w:t>
      </w:r>
    </w:p>
    <w:p w:rsidR="005F7EC1" w:rsidRDefault="005F7EC1" w:rsidP="005F7EC1">
      <w:pPr>
        <w:numPr>
          <w:ilvl w:val="0"/>
          <w:numId w:val="7"/>
        </w:numPr>
        <w:spacing w:after="0" w:line="240" w:lineRule="auto"/>
        <w:jc w:val="both"/>
      </w:pPr>
      <w:r>
        <w:t>2014</w:t>
      </w:r>
      <w:r>
        <w:tab/>
        <w:t>8.890.909 euro</w:t>
      </w:r>
    </w:p>
    <w:p w:rsidR="005F7EC1" w:rsidRDefault="005F7EC1" w:rsidP="00472B12">
      <w:pPr>
        <w:rPr>
          <w:rFonts w:ascii="Verdana" w:hAnsi="Verdana"/>
          <w:sz w:val="20"/>
          <w:szCs w:val="20"/>
        </w:rPr>
      </w:pPr>
    </w:p>
    <w:p w:rsidR="00B165FC" w:rsidRPr="009536E6" w:rsidRDefault="00B165FC" w:rsidP="00B165FC">
      <w:pPr>
        <w:rPr>
          <w:i/>
        </w:rPr>
      </w:pPr>
      <w:r>
        <w:rPr>
          <w:rFonts w:ascii="Verdana" w:hAnsi="Verdana"/>
          <w:sz w:val="20"/>
          <w:szCs w:val="20"/>
        </w:rPr>
        <w:t>Minister van Werk Monica de Coninck:</w:t>
      </w:r>
      <w:r>
        <w:t xml:space="preserve"> </w:t>
      </w:r>
      <w:r w:rsidRPr="005F7EC1">
        <w:rPr>
          <w:i/>
        </w:rPr>
        <w:t xml:space="preserve">“Als we het aantal mensen op de arbeidsmarkt en de uitstapleeftijd  </w:t>
      </w:r>
      <w:r>
        <w:rPr>
          <w:i/>
        </w:rPr>
        <w:t xml:space="preserve">van werknemers </w:t>
      </w:r>
      <w:r w:rsidRPr="005F7EC1">
        <w:rPr>
          <w:i/>
        </w:rPr>
        <w:t>willen verhogen, moeten we mensen de mogelijkheid geven om</w:t>
      </w:r>
      <w:r>
        <w:rPr>
          <w:i/>
        </w:rPr>
        <w:t xml:space="preserve"> hun werk en hun </w:t>
      </w:r>
      <w:proofErr w:type="spellStart"/>
      <w:r>
        <w:rPr>
          <w:i/>
        </w:rPr>
        <w:t>privé-leven</w:t>
      </w:r>
      <w:proofErr w:type="spellEnd"/>
      <w:r>
        <w:rPr>
          <w:i/>
        </w:rPr>
        <w:t xml:space="preserve"> </w:t>
      </w:r>
      <w:r w:rsidRPr="005F7EC1">
        <w:rPr>
          <w:i/>
        </w:rPr>
        <w:t>in drukke periodes te verzoenen. Het ouderschapsverlof komt daaraan een stuk tegemoet</w:t>
      </w:r>
      <w:r w:rsidR="002204DD">
        <w:rPr>
          <w:i/>
        </w:rPr>
        <w:t xml:space="preserve"> Door de vierde maand ook te vergoeden blijft het ouderschapsverlof voor iedereen toegankelijk</w:t>
      </w:r>
      <w:r w:rsidRPr="005F7EC1">
        <w:rPr>
          <w:i/>
        </w:rPr>
        <w:t>.”</w:t>
      </w:r>
    </w:p>
    <w:p w:rsidR="00B165FC" w:rsidRDefault="00B165FC" w:rsidP="00B165FC">
      <w:pPr>
        <w:rPr>
          <w:rFonts w:cstheme="minorHAnsi"/>
          <w:i/>
          <w:lang w:val="nl-NL"/>
        </w:rPr>
      </w:pPr>
      <w:r>
        <w:rPr>
          <w:rFonts w:ascii="Verdana" w:hAnsi="Verdana"/>
          <w:sz w:val="20"/>
          <w:szCs w:val="20"/>
        </w:rPr>
        <w:t xml:space="preserve">Staatssecretaris voor de families Philippe </w:t>
      </w:r>
      <w:proofErr w:type="spellStart"/>
      <w:r>
        <w:rPr>
          <w:rFonts w:ascii="Verdana" w:hAnsi="Verdana"/>
          <w:sz w:val="20"/>
          <w:szCs w:val="20"/>
        </w:rPr>
        <w:t>Courard</w:t>
      </w:r>
      <w:proofErr w:type="spellEnd"/>
      <w:r w:rsidRPr="00B165FC">
        <w:rPr>
          <w:rFonts w:ascii="Verdana" w:hAnsi="Verdana"/>
          <w:sz w:val="20"/>
          <w:szCs w:val="20"/>
        </w:rPr>
        <w:t xml:space="preserve">: </w:t>
      </w:r>
      <w:r w:rsidRPr="00B165FC">
        <w:rPr>
          <w:rStyle w:val="hps"/>
          <w:rFonts w:cstheme="minorHAnsi"/>
          <w:i/>
          <w:lang w:val="nl-NL"/>
        </w:rPr>
        <w:t>"Er is geen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twijfel dat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de uitbreiding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van het ouderschapsverlof</w:t>
      </w:r>
      <w:r w:rsidRPr="00B165FC">
        <w:rPr>
          <w:rFonts w:cstheme="minorHAnsi"/>
          <w:i/>
          <w:lang w:val="nl-NL"/>
        </w:rPr>
        <w:t xml:space="preserve"> nog meer ouders </w:t>
      </w:r>
      <w:r w:rsidRPr="00B165FC">
        <w:rPr>
          <w:rStyle w:val="hps"/>
          <w:rFonts w:cstheme="minorHAnsi"/>
          <w:i/>
          <w:lang w:val="nl-NL"/>
        </w:rPr>
        <w:t>zal stimuleren</w:t>
      </w:r>
      <w:r w:rsidRPr="00B165FC">
        <w:rPr>
          <w:rFonts w:cstheme="minorHAnsi"/>
          <w:i/>
          <w:lang w:val="nl-NL"/>
        </w:rPr>
        <w:t xml:space="preserve"> om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>kostbare momenten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>met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>hun kinderen door te brengen. Dat zowel voor moeders als vaders.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>Het aandeel van de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>vaders</w:t>
      </w:r>
      <w:r w:rsidRPr="00AF015F">
        <w:rPr>
          <w:rFonts w:cstheme="minorHAnsi"/>
          <w:i/>
        </w:rPr>
        <w:t xml:space="preserve"> </w:t>
      </w:r>
      <w:r w:rsidRPr="00AF015F">
        <w:rPr>
          <w:rStyle w:val="hps"/>
          <w:rFonts w:cstheme="minorHAnsi"/>
          <w:i/>
        </w:rPr>
        <w:t xml:space="preserve">die ouderschapsverlof opnemen zit de laatste jaren in de lift, maar ligt nog steeds ver onder dat van de moeders: ongeveer ¼ tegenover ¾ , terwijl een gelijkwaardige aanwezigheid belangrijk is voor het welzijn van het kind. Het ouderschapsverlof is een geweldige manier om een intense </w:t>
      </w:r>
      <w:r w:rsidRPr="00AF015F">
        <w:rPr>
          <w:rStyle w:val="hps"/>
          <w:rFonts w:eastAsia="Arial Unicode MS" w:cstheme="minorHAnsi"/>
          <w:i/>
        </w:rPr>
        <w:t>​​</w:t>
      </w:r>
      <w:r w:rsidRPr="00B165FC">
        <w:rPr>
          <w:rStyle w:val="hps"/>
          <w:rFonts w:cstheme="minorHAnsi"/>
          <w:i/>
          <w:lang w:val="nl-NL"/>
        </w:rPr>
        <w:t>band met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het kind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op te bouwen.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Dit zorgt voor een win-win situatie voor zowel de ouder</w:t>
      </w:r>
      <w:r w:rsidRPr="00B165FC">
        <w:rPr>
          <w:rFonts w:cstheme="minorHAnsi"/>
          <w:i/>
          <w:lang w:val="nl-NL"/>
        </w:rPr>
        <w:t xml:space="preserve">, het kind als </w:t>
      </w:r>
      <w:r w:rsidRPr="00B165FC">
        <w:rPr>
          <w:rStyle w:val="hps"/>
          <w:rFonts w:cstheme="minorHAnsi"/>
          <w:i/>
          <w:lang w:val="nl-NL"/>
        </w:rPr>
        <w:t>het hele gezin</w:t>
      </w:r>
      <w:r w:rsidRPr="00B165FC">
        <w:rPr>
          <w:rFonts w:cstheme="minorHAnsi"/>
          <w:i/>
          <w:lang w:val="nl-NL"/>
        </w:rPr>
        <w:t xml:space="preserve">. Maar ook voor </w:t>
      </w:r>
      <w:r w:rsidRPr="00B165FC">
        <w:rPr>
          <w:rStyle w:val="hps"/>
          <w:rFonts w:cstheme="minorHAnsi"/>
          <w:i/>
          <w:lang w:val="nl-NL"/>
        </w:rPr>
        <w:t>de werkgever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die in zijn rangen</w:t>
      </w:r>
      <w:r w:rsidRPr="00B165FC">
        <w:rPr>
          <w:rFonts w:cstheme="minorHAnsi"/>
          <w:i/>
          <w:lang w:val="nl-NL"/>
        </w:rPr>
        <w:t xml:space="preserve"> </w:t>
      </w:r>
      <w:r w:rsidRPr="00B165FC">
        <w:rPr>
          <w:rStyle w:val="hps"/>
          <w:rFonts w:cstheme="minorHAnsi"/>
          <w:i/>
          <w:lang w:val="nl-NL"/>
        </w:rPr>
        <w:t>een werknemer</w:t>
      </w:r>
      <w:r w:rsidRPr="00B165FC">
        <w:rPr>
          <w:rFonts w:cstheme="minorHAnsi"/>
          <w:i/>
          <w:lang w:val="nl-NL"/>
        </w:rPr>
        <w:t xml:space="preserve"> heeft die </w:t>
      </w:r>
      <w:proofErr w:type="spellStart"/>
      <w:r w:rsidRPr="00B165FC">
        <w:rPr>
          <w:rFonts w:cstheme="minorHAnsi"/>
          <w:i/>
          <w:lang w:val="nl-NL"/>
        </w:rPr>
        <w:t>open</w:t>
      </w:r>
      <w:r w:rsidRPr="00B165FC">
        <w:rPr>
          <w:rStyle w:val="hps"/>
          <w:rFonts w:cstheme="minorHAnsi"/>
          <w:i/>
          <w:lang w:val="nl-NL"/>
        </w:rPr>
        <w:t>bloeit</w:t>
      </w:r>
      <w:proofErr w:type="spellEnd"/>
      <w:r w:rsidRPr="00B165FC">
        <w:rPr>
          <w:rFonts w:cstheme="minorHAnsi"/>
          <w:i/>
          <w:lang w:val="nl-NL"/>
        </w:rPr>
        <w:t xml:space="preserve"> en bijgevolg </w:t>
      </w:r>
      <w:r w:rsidRPr="00B165FC">
        <w:rPr>
          <w:rStyle w:val="hps"/>
          <w:rFonts w:cstheme="minorHAnsi"/>
          <w:i/>
          <w:lang w:val="nl-NL"/>
        </w:rPr>
        <w:t>productiever is</w:t>
      </w:r>
      <w:r w:rsidRPr="00B165FC">
        <w:rPr>
          <w:rStyle w:val="atn"/>
          <w:rFonts w:cstheme="minorHAnsi"/>
          <w:i/>
          <w:lang w:val="nl-NL"/>
        </w:rPr>
        <w:t>! "</w:t>
      </w:r>
      <w:r w:rsidRPr="00B165FC">
        <w:rPr>
          <w:rFonts w:cstheme="minorHAnsi"/>
          <w:i/>
          <w:lang w:val="nl-NL"/>
        </w:rPr>
        <w:t>.</w:t>
      </w:r>
    </w:p>
    <w:p w:rsidR="0093393F" w:rsidRDefault="0093393F" w:rsidP="00B165FC">
      <w:pPr>
        <w:rPr>
          <w:rFonts w:cstheme="minorHAnsi"/>
          <w:i/>
          <w:lang w:val="nl-NL"/>
        </w:rPr>
      </w:pPr>
    </w:p>
    <w:p w:rsidR="0093393F" w:rsidRPr="0093393F" w:rsidRDefault="0093393F" w:rsidP="00B165FC">
      <w:pPr>
        <w:rPr>
          <w:rFonts w:cstheme="minorHAnsi"/>
          <w:b/>
          <w:color w:val="595959" w:themeColor="text1" w:themeTint="A6"/>
          <w:lang w:val="nl-NL"/>
        </w:rPr>
      </w:pPr>
      <w:r w:rsidRPr="0093393F">
        <w:rPr>
          <w:rFonts w:cstheme="minorHAnsi"/>
          <w:b/>
          <w:color w:val="595959" w:themeColor="text1" w:themeTint="A6"/>
          <w:lang w:val="nl-NL"/>
        </w:rPr>
        <w:t xml:space="preserve">Eva DE WOLF </w:t>
      </w:r>
    </w:p>
    <w:p w:rsidR="0093393F" w:rsidRPr="0093393F" w:rsidRDefault="0093393F" w:rsidP="00B165FC">
      <w:pPr>
        <w:rPr>
          <w:rFonts w:cstheme="minorHAnsi"/>
          <w:b/>
          <w:color w:val="595959" w:themeColor="text1" w:themeTint="A6"/>
          <w:lang w:val="nl-NL"/>
        </w:rPr>
      </w:pPr>
      <w:r w:rsidRPr="0093393F">
        <w:rPr>
          <w:rFonts w:cstheme="minorHAnsi"/>
          <w:b/>
          <w:color w:val="595959" w:themeColor="text1" w:themeTint="A6"/>
          <w:lang w:val="nl-NL"/>
        </w:rPr>
        <w:t xml:space="preserve">0497 61 86 86 </w:t>
      </w:r>
    </w:p>
    <w:p w:rsidR="00472B12" w:rsidRPr="00B165FC" w:rsidRDefault="00472B12" w:rsidP="00540F75">
      <w:pPr>
        <w:rPr>
          <w:rFonts w:cstheme="minorHAnsi"/>
          <w:i/>
          <w:sz w:val="20"/>
          <w:szCs w:val="20"/>
        </w:rPr>
      </w:pPr>
    </w:p>
    <w:p w:rsidR="00523DF0" w:rsidRPr="00DA1693" w:rsidRDefault="00523DF0" w:rsidP="00540F75">
      <w:pPr>
        <w:rPr>
          <w:rFonts w:ascii="Verdana" w:hAnsi="Verdana"/>
          <w:sz w:val="20"/>
          <w:szCs w:val="20"/>
        </w:rPr>
      </w:pPr>
    </w:p>
    <w:p w:rsidR="00540F75" w:rsidRPr="00EF7BD0" w:rsidRDefault="00540F7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40F75" w:rsidRPr="00EF7B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EC" w:rsidRDefault="00382FEC" w:rsidP="00EB21EE">
      <w:pPr>
        <w:spacing w:after="0" w:line="240" w:lineRule="auto"/>
      </w:pPr>
      <w:r>
        <w:separator/>
      </w:r>
    </w:p>
  </w:endnote>
  <w:endnote w:type="continuationSeparator" w:id="0">
    <w:p w:rsidR="00382FEC" w:rsidRDefault="00382FEC" w:rsidP="00EB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946057"/>
      <w:docPartObj>
        <w:docPartGallery w:val="Page Numbers (Bottom of Page)"/>
        <w:docPartUnique/>
      </w:docPartObj>
    </w:sdtPr>
    <w:sdtEndPr/>
    <w:sdtContent>
      <w:p w:rsidR="009536E6" w:rsidRDefault="009536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5F" w:rsidRPr="00AF015F">
          <w:rPr>
            <w:noProof/>
            <w:lang w:val="nl-NL"/>
          </w:rPr>
          <w:t>2</w:t>
        </w:r>
        <w:r>
          <w:fldChar w:fldCharType="end"/>
        </w:r>
      </w:p>
    </w:sdtContent>
  </w:sdt>
  <w:p w:rsidR="009536E6" w:rsidRDefault="00953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EC" w:rsidRDefault="00382FEC" w:rsidP="00EB21EE">
      <w:pPr>
        <w:spacing w:after="0" w:line="240" w:lineRule="auto"/>
      </w:pPr>
      <w:r>
        <w:separator/>
      </w:r>
    </w:p>
  </w:footnote>
  <w:footnote w:type="continuationSeparator" w:id="0">
    <w:p w:rsidR="00382FEC" w:rsidRDefault="00382FEC" w:rsidP="00EB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B72"/>
    <w:multiLevelType w:val="hybridMultilevel"/>
    <w:tmpl w:val="92A64EEA"/>
    <w:lvl w:ilvl="0" w:tplc="45B22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365"/>
    <w:multiLevelType w:val="hybridMultilevel"/>
    <w:tmpl w:val="083426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FA3"/>
    <w:multiLevelType w:val="hybridMultilevel"/>
    <w:tmpl w:val="D1D2FA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5BB0"/>
    <w:multiLevelType w:val="hybridMultilevel"/>
    <w:tmpl w:val="8B50E752"/>
    <w:lvl w:ilvl="0" w:tplc="BB6EE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28A1"/>
    <w:multiLevelType w:val="hybridMultilevel"/>
    <w:tmpl w:val="4A04EDD8"/>
    <w:lvl w:ilvl="0" w:tplc="EC984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69CC"/>
    <w:multiLevelType w:val="hybridMultilevel"/>
    <w:tmpl w:val="7610C6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5"/>
    <w:rsid w:val="000C6070"/>
    <w:rsid w:val="000D6C30"/>
    <w:rsid w:val="000F7CE3"/>
    <w:rsid w:val="001049E7"/>
    <w:rsid w:val="001B36ED"/>
    <w:rsid w:val="0020295B"/>
    <w:rsid w:val="002204DD"/>
    <w:rsid w:val="002C2934"/>
    <w:rsid w:val="002E1FAB"/>
    <w:rsid w:val="0032004A"/>
    <w:rsid w:val="00361F90"/>
    <w:rsid w:val="003756B2"/>
    <w:rsid w:val="00382FEC"/>
    <w:rsid w:val="003F5DE5"/>
    <w:rsid w:val="00463056"/>
    <w:rsid w:val="00472B12"/>
    <w:rsid w:val="004A122C"/>
    <w:rsid w:val="004C63A7"/>
    <w:rsid w:val="004F380A"/>
    <w:rsid w:val="004F4B3B"/>
    <w:rsid w:val="00523B81"/>
    <w:rsid w:val="00523DF0"/>
    <w:rsid w:val="00540F75"/>
    <w:rsid w:val="00563CA6"/>
    <w:rsid w:val="005E116E"/>
    <w:rsid w:val="005F7EC1"/>
    <w:rsid w:val="00605547"/>
    <w:rsid w:val="006208D8"/>
    <w:rsid w:val="006456C9"/>
    <w:rsid w:val="006C246A"/>
    <w:rsid w:val="00761E37"/>
    <w:rsid w:val="00796E48"/>
    <w:rsid w:val="008D6287"/>
    <w:rsid w:val="0093393F"/>
    <w:rsid w:val="009536E6"/>
    <w:rsid w:val="009857DA"/>
    <w:rsid w:val="00A034AE"/>
    <w:rsid w:val="00A05ED2"/>
    <w:rsid w:val="00A47D23"/>
    <w:rsid w:val="00AA7F53"/>
    <w:rsid w:val="00AD2748"/>
    <w:rsid w:val="00AF015F"/>
    <w:rsid w:val="00B165FC"/>
    <w:rsid w:val="00B715D1"/>
    <w:rsid w:val="00BA2B5B"/>
    <w:rsid w:val="00BD29F4"/>
    <w:rsid w:val="00C97372"/>
    <w:rsid w:val="00CF0B21"/>
    <w:rsid w:val="00D46026"/>
    <w:rsid w:val="00D8613A"/>
    <w:rsid w:val="00DA1693"/>
    <w:rsid w:val="00DC35F4"/>
    <w:rsid w:val="00DE3EC0"/>
    <w:rsid w:val="00E05AEE"/>
    <w:rsid w:val="00E16608"/>
    <w:rsid w:val="00E212F6"/>
    <w:rsid w:val="00E5628F"/>
    <w:rsid w:val="00E729E2"/>
    <w:rsid w:val="00EB21EE"/>
    <w:rsid w:val="00EF0128"/>
    <w:rsid w:val="00EF7BD0"/>
    <w:rsid w:val="00F0621B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75"/>
    <w:pPr>
      <w:ind w:left="720"/>
      <w:contextualSpacing/>
    </w:pPr>
  </w:style>
  <w:style w:type="paragraph" w:styleId="NoSpacing">
    <w:name w:val="No Spacing"/>
    <w:uiPriority w:val="1"/>
    <w:qFormat/>
    <w:rsid w:val="00DA1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EE"/>
  </w:style>
  <w:style w:type="paragraph" w:styleId="Footer">
    <w:name w:val="footer"/>
    <w:basedOn w:val="Normal"/>
    <w:link w:val="FooterChar"/>
    <w:uiPriority w:val="99"/>
    <w:unhideWhenUsed/>
    <w:rsid w:val="00E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EE"/>
  </w:style>
  <w:style w:type="character" w:customStyle="1" w:styleId="hps">
    <w:name w:val="hps"/>
    <w:basedOn w:val="DefaultParagraphFont"/>
    <w:rsid w:val="00B165FC"/>
  </w:style>
  <w:style w:type="character" w:customStyle="1" w:styleId="atn">
    <w:name w:val="atn"/>
    <w:basedOn w:val="DefaultParagraphFont"/>
    <w:rsid w:val="00B1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75"/>
    <w:pPr>
      <w:ind w:left="720"/>
      <w:contextualSpacing/>
    </w:pPr>
  </w:style>
  <w:style w:type="paragraph" w:styleId="NoSpacing">
    <w:name w:val="No Spacing"/>
    <w:uiPriority w:val="1"/>
    <w:qFormat/>
    <w:rsid w:val="00DA1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EE"/>
  </w:style>
  <w:style w:type="paragraph" w:styleId="Footer">
    <w:name w:val="footer"/>
    <w:basedOn w:val="Normal"/>
    <w:link w:val="FooterChar"/>
    <w:uiPriority w:val="99"/>
    <w:unhideWhenUsed/>
    <w:rsid w:val="00E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EE"/>
  </w:style>
  <w:style w:type="character" w:customStyle="1" w:styleId="hps">
    <w:name w:val="hps"/>
    <w:basedOn w:val="DefaultParagraphFont"/>
    <w:rsid w:val="00B165FC"/>
  </w:style>
  <w:style w:type="character" w:customStyle="1" w:styleId="atn">
    <w:name w:val="atn"/>
    <w:basedOn w:val="DefaultParagraphFont"/>
    <w:rsid w:val="00B1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WOLF Eva</dc:creator>
  <cp:lastModifiedBy>Delafortrie Sarah</cp:lastModifiedBy>
  <cp:revision>2</cp:revision>
  <cp:lastPrinted>2012-03-22T18:37:00Z</cp:lastPrinted>
  <dcterms:created xsi:type="dcterms:W3CDTF">2012-03-23T10:40:00Z</dcterms:created>
  <dcterms:modified xsi:type="dcterms:W3CDTF">2012-03-23T10:40:00Z</dcterms:modified>
</cp:coreProperties>
</file>