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A1" w:rsidRPr="00CC31F9" w:rsidRDefault="008935A1" w:rsidP="00FD434B">
      <w:pPr>
        <w:rPr>
          <w:rFonts w:ascii="Century Gothic" w:hAnsi="Century Gothic"/>
          <w:b/>
          <w:sz w:val="24"/>
          <w:u w:val="single"/>
        </w:rPr>
      </w:pPr>
      <w:bookmarkStart w:id="0" w:name="_GoBack"/>
      <w:bookmarkEnd w:id="0"/>
      <w:r>
        <w:t xml:space="preserve">         </w:t>
      </w:r>
      <w:r w:rsidR="000572B3">
        <w:rPr>
          <w:noProof/>
          <w:lang w:bidi="ar-SA"/>
        </w:rPr>
        <w:drawing>
          <wp:inline distT="0" distB="0" distL="0" distR="0" wp14:anchorId="34E1B320" wp14:editId="51A19815">
            <wp:extent cx="2667000" cy="55491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f_just_q_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189" cy="556407"/>
                    </a:xfrm>
                    <a:prstGeom prst="rect">
                      <a:avLst/>
                    </a:prstGeom>
                  </pic:spPr>
                </pic:pic>
              </a:graphicData>
            </a:graphic>
          </wp:inline>
        </w:drawing>
      </w:r>
      <w:r>
        <w:t xml:space="preserve">      </w:t>
      </w:r>
      <w:r w:rsidR="000572B3" w:rsidRPr="000572B3">
        <w:rPr>
          <w:rFonts w:ascii="Century Gothic" w:hAnsi="Century Gothic"/>
          <w:b/>
          <w:noProof/>
          <w:sz w:val="36"/>
          <w:lang w:bidi="ar-SA"/>
        </w:rPr>
        <w:drawing>
          <wp:inline distT="0" distB="0" distL="0" distR="0" wp14:anchorId="1B390094" wp14:editId="74D7E609">
            <wp:extent cx="2428875" cy="7286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fr_tcm307-43569.gif"/>
                    <pic:cNvPicPr/>
                  </pic:nvPicPr>
                  <pic:blipFill>
                    <a:blip r:embed="rId10">
                      <a:extLst>
                        <a:ext uri="{28A0092B-C50C-407E-A947-70E740481C1C}">
                          <a14:useLocalDpi xmlns:a14="http://schemas.microsoft.com/office/drawing/2010/main" val="0"/>
                        </a:ext>
                      </a:extLst>
                    </a:blip>
                    <a:stretch>
                      <a:fillRect/>
                    </a:stretch>
                  </pic:blipFill>
                  <pic:spPr>
                    <a:xfrm>
                      <a:off x="0" y="0"/>
                      <a:ext cx="2428875" cy="728663"/>
                    </a:xfrm>
                    <a:prstGeom prst="rect">
                      <a:avLst/>
                    </a:prstGeom>
                  </pic:spPr>
                </pic:pic>
              </a:graphicData>
            </a:graphic>
          </wp:inline>
        </w:drawing>
      </w:r>
    </w:p>
    <w:p w:rsidR="008935A1" w:rsidRPr="00FD434B" w:rsidRDefault="000572B3" w:rsidP="000572B3">
      <w:pPr>
        <w:rPr>
          <w:rFonts w:ascii="Century Gothic" w:hAnsi="Century Gothic"/>
          <w:b/>
          <w:sz w:val="24"/>
          <w:u w:val="single"/>
        </w:rPr>
      </w:pPr>
      <w:r>
        <w:rPr>
          <w:rFonts w:ascii="Century Gothic" w:hAnsi="Century Gothic"/>
          <w:b/>
          <w:sz w:val="24"/>
          <w:u w:val="single"/>
        </w:rPr>
        <w:t>Communiqué de presse</w:t>
      </w:r>
      <w:r w:rsidR="005E28D3">
        <w:rPr>
          <w:rFonts w:ascii="Century Gothic" w:hAnsi="Century Gothic"/>
          <w:b/>
          <w:sz w:val="24"/>
          <w:u w:val="single"/>
        </w:rPr>
        <w:t xml:space="preserve"> des</w:t>
      </w:r>
      <w:r>
        <w:rPr>
          <w:rFonts w:ascii="Century Gothic" w:hAnsi="Century Gothic"/>
          <w:b/>
          <w:sz w:val="24"/>
          <w:u w:val="single"/>
        </w:rPr>
        <w:t xml:space="preserve"> Ministre</w:t>
      </w:r>
      <w:r w:rsidR="005E28D3">
        <w:rPr>
          <w:rFonts w:ascii="Century Gothic" w:hAnsi="Century Gothic"/>
          <w:b/>
          <w:sz w:val="24"/>
          <w:u w:val="single"/>
        </w:rPr>
        <w:t>s</w:t>
      </w:r>
      <w:r>
        <w:rPr>
          <w:rFonts w:ascii="Century Gothic" w:hAnsi="Century Gothic"/>
          <w:b/>
          <w:sz w:val="24"/>
          <w:u w:val="single"/>
        </w:rPr>
        <w:t xml:space="preserve"> </w:t>
      </w:r>
      <w:proofErr w:type="spellStart"/>
      <w:r>
        <w:rPr>
          <w:rFonts w:ascii="Century Gothic" w:hAnsi="Century Gothic"/>
          <w:b/>
          <w:sz w:val="24"/>
          <w:u w:val="single"/>
        </w:rPr>
        <w:t>Turtelboom</w:t>
      </w:r>
      <w:proofErr w:type="spellEnd"/>
      <w:r>
        <w:rPr>
          <w:rFonts w:ascii="Century Gothic" w:hAnsi="Century Gothic"/>
          <w:b/>
          <w:sz w:val="24"/>
          <w:u w:val="single"/>
        </w:rPr>
        <w:t xml:space="preserve"> et Geens: lancement du p</w:t>
      </w:r>
      <w:r w:rsidR="005E28D3">
        <w:rPr>
          <w:rFonts w:ascii="Century Gothic" w:hAnsi="Century Gothic"/>
          <w:b/>
          <w:sz w:val="24"/>
          <w:u w:val="single"/>
        </w:rPr>
        <w:t>lan d’action pour une p</w:t>
      </w:r>
      <w:r w:rsidR="00F548ED">
        <w:rPr>
          <w:rFonts w:ascii="Century Gothic" w:hAnsi="Century Gothic"/>
          <w:b/>
          <w:sz w:val="24"/>
          <w:u w:val="single"/>
        </w:rPr>
        <w:t xml:space="preserve">erception </w:t>
      </w:r>
      <w:r w:rsidR="005E28D3">
        <w:rPr>
          <w:rFonts w:ascii="Century Gothic" w:hAnsi="Century Gothic"/>
          <w:b/>
          <w:sz w:val="24"/>
          <w:u w:val="single"/>
        </w:rPr>
        <w:t xml:space="preserve">plus adéquate </w:t>
      </w:r>
      <w:r w:rsidR="00F548ED">
        <w:rPr>
          <w:rFonts w:ascii="Century Gothic" w:hAnsi="Century Gothic"/>
          <w:b/>
          <w:sz w:val="24"/>
          <w:u w:val="single"/>
        </w:rPr>
        <w:t>des amendes pénales</w:t>
      </w:r>
    </w:p>
    <w:p w:rsidR="00BB464E" w:rsidRPr="00CB0D5D" w:rsidRDefault="00F548ED" w:rsidP="00F548ED">
      <w:pPr>
        <w:jc w:val="both"/>
        <w:rPr>
          <w:rFonts w:ascii="Century Gothic" w:hAnsi="Century Gothic"/>
          <w:b/>
          <w:sz w:val="20"/>
          <w:szCs w:val="20"/>
        </w:rPr>
      </w:pPr>
      <w:r>
        <w:rPr>
          <w:rFonts w:ascii="Century Gothic" w:hAnsi="Century Gothic"/>
          <w:b/>
          <w:sz w:val="20"/>
        </w:rPr>
        <w:t xml:space="preserve">L'amende est l'une des peines les plus infligées dans notre pays. Toutefois, ces amendes ne sont pas (intégralement) perçues, ce qui représente un sérieux manque à gagner pour l'autorité. Un plan d'action du ministre des Finances Koen Geens et de la ministre de la Justice Annemie Turtelboom  – qui a été approuvé aujourd'hui en Conseil des ministres  – doit remédier à cette situation. </w:t>
      </w:r>
    </w:p>
    <w:p w:rsidR="00F548ED" w:rsidRDefault="00BB464E" w:rsidP="00F548ED">
      <w:pPr>
        <w:jc w:val="both"/>
        <w:rPr>
          <w:rFonts w:ascii="Century Gothic" w:hAnsi="Century Gothic"/>
          <w:sz w:val="20"/>
          <w:szCs w:val="20"/>
        </w:rPr>
      </w:pPr>
      <w:r>
        <w:rPr>
          <w:rFonts w:ascii="Century Gothic" w:hAnsi="Century Gothic"/>
          <w:sz w:val="20"/>
        </w:rPr>
        <w:t xml:space="preserve">L'exécution des peines a considérablement été améliorée au cours de cette législature et, en conséquence, les courtes peines sont à nouveau effectivement exécutées. Cette logique est à présent transposée aux amendes. </w:t>
      </w:r>
    </w:p>
    <w:p w:rsidR="00A1282F" w:rsidRPr="00805F13" w:rsidRDefault="00DE2EFC" w:rsidP="008F3AC1">
      <w:pPr>
        <w:jc w:val="both"/>
        <w:rPr>
          <w:rFonts w:ascii="Century Gothic" w:hAnsi="Century Gothic"/>
          <w:b/>
          <w:sz w:val="20"/>
          <w:szCs w:val="20"/>
          <w:u w:val="single"/>
        </w:rPr>
      </w:pPr>
      <w:r>
        <w:rPr>
          <w:rFonts w:ascii="Century Gothic" w:hAnsi="Century Gothic"/>
          <w:b/>
          <w:sz w:val="20"/>
          <w:u w:val="single"/>
        </w:rPr>
        <w:t xml:space="preserve">Recouvrement efficace des amendes </w:t>
      </w:r>
    </w:p>
    <w:p w:rsidR="00B74C8F" w:rsidRPr="00805F13" w:rsidRDefault="00B74C8F" w:rsidP="008C724C">
      <w:pPr>
        <w:jc w:val="both"/>
        <w:rPr>
          <w:rFonts w:ascii="Century Gothic" w:hAnsi="Century Gothic"/>
          <w:sz w:val="20"/>
          <w:szCs w:val="20"/>
        </w:rPr>
      </w:pPr>
      <w:r>
        <w:rPr>
          <w:rFonts w:ascii="Century Gothic" w:hAnsi="Century Gothic"/>
          <w:sz w:val="20"/>
        </w:rPr>
        <w:t>L'accord de gouvernement prévoit un recouvrement efficace des amendes et des confiscations par le biais, d'une part, de la poursuite de l'informatisation et, d'autre part, d'une meilleure concertation et d'une meilleure collaboration entre la police, les parquets, le SPF Finances et le SPF Justice.</w:t>
      </w:r>
    </w:p>
    <w:p w:rsidR="008D77ED" w:rsidRDefault="00D76BD6" w:rsidP="00FC0A22">
      <w:pPr>
        <w:jc w:val="both"/>
        <w:rPr>
          <w:rFonts w:ascii="Century Gothic" w:hAnsi="Century Gothic"/>
          <w:sz w:val="20"/>
          <w:szCs w:val="20"/>
        </w:rPr>
      </w:pPr>
      <w:r>
        <w:rPr>
          <w:rFonts w:ascii="Century Gothic" w:hAnsi="Century Gothic"/>
          <w:sz w:val="20"/>
        </w:rPr>
        <w:t xml:space="preserve">L'exécution des amendes pénales requiert une collaboration active entre les différentes instances concernées de la Justice et des Finances. Ce plan d’action contient une stratégie commune pour optimiser l'exécution effective et efficiente des amendes pénales. Tenant compte des recommandations de la Cour des comptes, les efforts portent sur </w:t>
      </w:r>
      <w:r w:rsidR="00AA6530">
        <w:rPr>
          <w:rFonts w:ascii="Century Gothic" w:hAnsi="Century Gothic"/>
          <w:sz w:val="20"/>
        </w:rPr>
        <w:t>quatre</w:t>
      </w:r>
      <w:r>
        <w:rPr>
          <w:rFonts w:ascii="Century Gothic" w:hAnsi="Century Gothic"/>
          <w:sz w:val="20"/>
        </w:rPr>
        <w:t xml:space="preserve"> objectifs stratégiques :</w:t>
      </w:r>
    </w:p>
    <w:p w:rsidR="008D77ED" w:rsidRDefault="008D77ED" w:rsidP="008D77ED">
      <w:pPr>
        <w:pStyle w:val="Paragraphedeliste"/>
        <w:numPr>
          <w:ilvl w:val="0"/>
          <w:numId w:val="3"/>
        </w:numPr>
        <w:jc w:val="both"/>
        <w:rPr>
          <w:rFonts w:ascii="Century Gothic" w:hAnsi="Century Gothic"/>
          <w:sz w:val="20"/>
          <w:szCs w:val="20"/>
        </w:rPr>
      </w:pPr>
      <w:r>
        <w:rPr>
          <w:rFonts w:ascii="Century Gothic" w:hAnsi="Century Gothic"/>
          <w:sz w:val="20"/>
        </w:rPr>
        <w:t>le renforcement de la stratégie et de la coordination entre les Finances et la Justice ;</w:t>
      </w:r>
    </w:p>
    <w:p w:rsidR="008D77ED" w:rsidRDefault="008D77ED" w:rsidP="008D77ED">
      <w:pPr>
        <w:pStyle w:val="Paragraphedeliste"/>
        <w:numPr>
          <w:ilvl w:val="0"/>
          <w:numId w:val="3"/>
        </w:numPr>
        <w:jc w:val="both"/>
        <w:rPr>
          <w:rFonts w:ascii="Century Gothic" w:hAnsi="Century Gothic"/>
          <w:sz w:val="20"/>
          <w:szCs w:val="20"/>
        </w:rPr>
      </w:pPr>
      <w:r>
        <w:rPr>
          <w:rFonts w:ascii="Century Gothic" w:hAnsi="Century Gothic"/>
          <w:sz w:val="20"/>
        </w:rPr>
        <w:t>l'exécution des peines pécuniaires par la Justice ;</w:t>
      </w:r>
    </w:p>
    <w:p w:rsidR="008D77ED" w:rsidRDefault="008D77ED" w:rsidP="008D77ED">
      <w:pPr>
        <w:pStyle w:val="Paragraphedeliste"/>
        <w:numPr>
          <w:ilvl w:val="0"/>
          <w:numId w:val="3"/>
        </w:numPr>
        <w:jc w:val="both"/>
        <w:rPr>
          <w:rFonts w:ascii="Century Gothic" w:hAnsi="Century Gothic"/>
          <w:sz w:val="20"/>
          <w:szCs w:val="20"/>
        </w:rPr>
      </w:pPr>
      <w:r>
        <w:rPr>
          <w:rFonts w:ascii="Century Gothic" w:hAnsi="Century Gothic"/>
          <w:sz w:val="20"/>
        </w:rPr>
        <w:t xml:space="preserve">le recouvrement par le SPF Finances ; </w:t>
      </w:r>
    </w:p>
    <w:p w:rsidR="008D77ED" w:rsidRDefault="008D77ED" w:rsidP="008D77ED">
      <w:pPr>
        <w:pStyle w:val="Paragraphedeliste"/>
        <w:numPr>
          <w:ilvl w:val="0"/>
          <w:numId w:val="3"/>
        </w:numPr>
        <w:jc w:val="both"/>
        <w:rPr>
          <w:rFonts w:ascii="Century Gothic" w:hAnsi="Century Gothic"/>
          <w:sz w:val="20"/>
          <w:szCs w:val="20"/>
        </w:rPr>
      </w:pPr>
      <w:r>
        <w:rPr>
          <w:rFonts w:ascii="Century Gothic" w:hAnsi="Century Gothic"/>
          <w:sz w:val="20"/>
        </w:rPr>
        <w:t>l'instauration d'un système de rapport.</w:t>
      </w:r>
    </w:p>
    <w:p w:rsidR="00CB0D5D" w:rsidRDefault="008D77ED" w:rsidP="008D77ED">
      <w:pPr>
        <w:jc w:val="both"/>
        <w:rPr>
          <w:rFonts w:ascii="Century Gothic" w:hAnsi="Century Gothic"/>
          <w:sz w:val="20"/>
          <w:szCs w:val="20"/>
        </w:rPr>
      </w:pPr>
      <w:r>
        <w:rPr>
          <w:rFonts w:ascii="Century Gothic" w:hAnsi="Century Gothic"/>
          <w:sz w:val="20"/>
        </w:rPr>
        <w:t>Quarante points d'action concrets sont formulés dans le plan d'action pour ces objectifs stratégiques. Ces actions spécifiques sont axées sur les amendes pénales, mais contribueront également à un meilleur recouvrement des frais de justice en matière répressive et de la contribution obligatoire au Fonds d'aide aux victimes.</w:t>
      </w:r>
    </w:p>
    <w:p w:rsidR="00FC0A22" w:rsidRPr="00CA3E98" w:rsidRDefault="00FC0A22" w:rsidP="00FC0A22">
      <w:pPr>
        <w:jc w:val="both"/>
        <w:rPr>
          <w:rFonts w:ascii="Century Gothic" w:hAnsi="Century Gothic"/>
          <w:sz w:val="20"/>
          <w:szCs w:val="20"/>
          <w:u w:val="single"/>
        </w:rPr>
      </w:pPr>
      <w:r>
        <w:rPr>
          <w:rFonts w:ascii="Century Gothic" w:hAnsi="Century Gothic"/>
          <w:sz w:val="20"/>
          <w:u w:val="single"/>
        </w:rPr>
        <w:t>En ce qui concerne la Justice :</w:t>
      </w:r>
    </w:p>
    <w:p w:rsidR="00DA5828" w:rsidRDefault="00DA5828" w:rsidP="00FC0A22">
      <w:pPr>
        <w:pStyle w:val="Paragraphedeliste"/>
        <w:numPr>
          <w:ilvl w:val="0"/>
          <w:numId w:val="1"/>
        </w:numPr>
        <w:jc w:val="both"/>
        <w:rPr>
          <w:rFonts w:ascii="Century Gothic" w:hAnsi="Century Gothic"/>
          <w:sz w:val="20"/>
          <w:szCs w:val="20"/>
        </w:rPr>
      </w:pPr>
      <w:r>
        <w:rPr>
          <w:rFonts w:ascii="Century Gothic" w:hAnsi="Century Gothic"/>
          <w:sz w:val="20"/>
        </w:rPr>
        <w:t>des directives communes seront rédigées pour la Justice et les Finances ;</w:t>
      </w:r>
    </w:p>
    <w:p w:rsidR="008D77ED" w:rsidRDefault="008D77ED" w:rsidP="00FC0A22">
      <w:pPr>
        <w:pStyle w:val="Paragraphedeliste"/>
        <w:numPr>
          <w:ilvl w:val="0"/>
          <w:numId w:val="1"/>
        </w:numPr>
        <w:jc w:val="both"/>
        <w:rPr>
          <w:rFonts w:ascii="Century Gothic" w:hAnsi="Century Gothic"/>
          <w:sz w:val="20"/>
          <w:szCs w:val="20"/>
        </w:rPr>
      </w:pPr>
      <w:r>
        <w:rPr>
          <w:rFonts w:ascii="Century Gothic" w:hAnsi="Century Gothic"/>
          <w:sz w:val="20"/>
        </w:rPr>
        <w:t>une concertation permanente sera prévue entre la Justice et les Finances (déjà prévue dans le projet de loi EPE qui a été approuvé au parlement) ;</w:t>
      </w:r>
    </w:p>
    <w:p w:rsidR="00FC0A22" w:rsidRPr="008D77ED" w:rsidRDefault="00FC0A22" w:rsidP="00FC0A22">
      <w:pPr>
        <w:pStyle w:val="Paragraphedeliste"/>
        <w:numPr>
          <w:ilvl w:val="0"/>
          <w:numId w:val="1"/>
        </w:numPr>
        <w:jc w:val="both"/>
        <w:rPr>
          <w:rFonts w:ascii="Century Gothic" w:hAnsi="Century Gothic"/>
          <w:sz w:val="20"/>
          <w:szCs w:val="20"/>
        </w:rPr>
      </w:pPr>
      <w:r>
        <w:rPr>
          <w:rFonts w:ascii="Century Gothic" w:hAnsi="Century Gothic"/>
          <w:sz w:val="20"/>
        </w:rPr>
        <w:t xml:space="preserve">une </w:t>
      </w:r>
      <w:r>
        <w:rPr>
          <w:rFonts w:ascii="Century Gothic" w:hAnsi="Century Gothic"/>
          <w:b/>
          <w:sz w:val="20"/>
        </w:rPr>
        <w:t>circulaire</w:t>
      </w:r>
      <w:r>
        <w:rPr>
          <w:rFonts w:ascii="Century Gothic" w:hAnsi="Century Gothic"/>
          <w:sz w:val="20"/>
        </w:rPr>
        <w:t xml:space="preserve"> sera diffusée à court terme par le Collège des procureurs généraux sur l'exécution des amendes pénales. Elle énumérera à nouveau les questions pratiques telles que l'obligation pour les greffiers d'envoyer un jugement dans les trois jours aux Finances ; </w:t>
      </w:r>
    </w:p>
    <w:p w:rsidR="00FC0A22" w:rsidRPr="00805F13" w:rsidRDefault="00FC0A22" w:rsidP="00FC0A22">
      <w:pPr>
        <w:pStyle w:val="Paragraphedeliste"/>
        <w:numPr>
          <w:ilvl w:val="0"/>
          <w:numId w:val="1"/>
        </w:numPr>
        <w:jc w:val="both"/>
        <w:rPr>
          <w:rFonts w:ascii="Century Gothic" w:hAnsi="Century Gothic"/>
          <w:sz w:val="20"/>
          <w:szCs w:val="20"/>
        </w:rPr>
      </w:pPr>
      <w:r>
        <w:rPr>
          <w:rFonts w:ascii="Century Gothic" w:hAnsi="Century Gothic"/>
          <w:sz w:val="20"/>
        </w:rPr>
        <w:lastRenderedPageBreak/>
        <w:t xml:space="preserve">un meilleur </w:t>
      </w:r>
      <w:r>
        <w:rPr>
          <w:rFonts w:ascii="Century Gothic" w:hAnsi="Century Gothic"/>
          <w:b/>
          <w:sz w:val="20"/>
        </w:rPr>
        <w:t>encadrement et</w:t>
      </w:r>
      <w:r>
        <w:rPr>
          <w:rFonts w:ascii="Century Gothic" w:hAnsi="Century Gothic"/>
          <w:sz w:val="20"/>
        </w:rPr>
        <w:t xml:space="preserve"> une meilleure </w:t>
      </w:r>
      <w:r>
        <w:rPr>
          <w:rFonts w:ascii="Century Gothic" w:hAnsi="Century Gothic"/>
          <w:b/>
          <w:sz w:val="20"/>
        </w:rPr>
        <w:t>formation</w:t>
      </w:r>
      <w:r>
        <w:rPr>
          <w:rFonts w:ascii="Century Gothic" w:hAnsi="Century Gothic"/>
          <w:sz w:val="20"/>
        </w:rPr>
        <w:t xml:space="preserve"> du personnel seront prévus : l'IFJ organisera notamment une formation pour les parquets et les greffes des cours et tribunaux, à laquelle participeront également les receveurs du SPF Finances ; </w:t>
      </w:r>
    </w:p>
    <w:p w:rsidR="00FC0A22" w:rsidRDefault="00FC0A22" w:rsidP="00FC0A22">
      <w:pPr>
        <w:pStyle w:val="Paragraphedeliste"/>
        <w:numPr>
          <w:ilvl w:val="0"/>
          <w:numId w:val="1"/>
        </w:numPr>
        <w:jc w:val="both"/>
        <w:rPr>
          <w:rFonts w:ascii="Century Gothic" w:hAnsi="Century Gothic"/>
          <w:sz w:val="20"/>
          <w:szCs w:val="20"/>
        </w:rPr>
      </w:pPr>
      <w:r>
        <w:rPr>
          <w:rFonts w:ascii="Century Gothic" w:hAnsi="Century Gothic"/>
          <w:sz w:val="20"/>
        </w:rPr>
        <w:t xml:space="preserve">toutes les condamnations seront à moyen terme </w:t>
      </w:r>
      <w:r>
        <w:rPr>
          <w:rFonts w:ascii="Century Gothic" w:hAnsi="Century Gothic"/>
          <w:b/>
          <w:sz w:val="20"/>
        </w:rPr>
        <w:t>transmises automatiquement par voie électronique</w:t>
      </w:r>
      <w:r>
        <w:rPr>
          <w:rFonts w:ascii="Century Gothic" w:hAnsi="Century Gothic"/>
          <w:sz w:val="20"/>
        </w:rPr>
        <w:t xml:space="preserve"> aux receveurs des Finances.</w:t>
      </w:r>
    </w:p>
    <w:p w:rsidR="00FC0A22" w:rsidRPr="00805F13" w:rsidRDefault="00FC0A22" w:rsidP="008C724C">
      <w:pPr>
        <w:jc w:val="both"/>
        <w:rPr>
          <w:rFonts w:ascii="Century Gothic" w:hAnsi="Century Gothic"/>
          <w:sz w:val="20"/>
          <w:szCs w:val="20"/>
        </w:rPr>
      </w:pPr>
      <w:r>
        <w:rPr>
          <w:rFonts w:ascii="Century Gothic" w:hAnsi="Century Gothic"/>
          <w:sz w:val="20"/>
        </w:rPr>
        <w:t xml:space="preserve">La Justice s'attelle actuellement à l'informatisation complète de la partie de la chaîne de recouvrement qui la concerne. Le système informatique pour les tribunaux de police, MaCH, est au point et est utilisé. Le programme JustX (une grande banque de données qui contiendra tous les jugements, arrêts et autres actes judiciaires et qui est actuellement en phase de test) permettra aux greffes des autres cours et tribunaux de transmettre leur extrait de jugement par voie électronique au SPF Finances.  </w:t>
      </w:r>
    </w:p>
    <w:p w:rsidR="00813995" w:rsidRDefault="00813995" w:rsidP="00813995">
      <w:pPr>
        <w:spacing w:after="0" w:line="240" w:lineRule="auto"/>
        <w:contextualSpacing/>
        <w:jc w:val="both"/>
        <w:rPr>
          <w:rFonts w:ascii="Century Gothic" w:hAnsi="Century Gothic"/>
          <w:sz w:val="20"/>
          <w:szCs w:val="20"/>
          <w:u w:val="single"/>
          <w:lang w:val="fr-BE" w:eastAsia="en-US"/>
        </w:rPr>
      </w:pPr>
      <w:r>
        <w:rPr>
          <w:rFonts w:ascii="Century Gothic" w:hAnsi="Century Gothic"/>
          <w:sz w:val="20"/>
          <w:szCs w:val="20"/>
          <w:u w:val="single"/>
          <w:lang w:val="fr-BE" w:eastAsia="en-US"/>
        </w:rPr>
        <w:t>Pour les Finances, il s’agira notamment:</w:t>
      </w:r>
    </w:p>
    <w:p w:rsidR="00813995" w:rsidRDefault="00813995" w:rsidP="00813995">
      <w:pPr>
        <w:spacing w:after="0" w:line="240" w:lineRule="auto"/>
        <w:contextualSpacing/>
        <w:jc w:val="both"/>
        <w:rPr>
          <w:rFonts w:ascii="Century Gothic" w:hAnsi="Century Gothic"/>
          <w:sz w:val="20"/>
          <w:szCs w:val="20"/>
          <w:u w:val="single"/>
          <w:lang w:val="fr-BE" w:eastAsia="en-US"/>
        </w:rPr>
      </w:pPr>
    </w:p>
    <w:p w:rsidR="00813995" w:rsidRDefault="00813995" w:rsidP="005E28D3">
      <w:pPr>
        <w:spacing w:after="0"/>
        <w:ind w:left="720"/>
        <w:contextualSpacing/>
        <w:jc w:val="both"/>
        <w:rPr>
          <w:rFonts w:ascii="Century Gothic" w:hAnsi="Century Gothic"/>
          <w:sz w:val="20"/>
          <w:szCs w:val="20"/>
          <w:lang w:val="fr-BE" w:eastAsia="en-US"/>
        </w:rPr>
      </w:pPr>
    </w:p>
    <w:p w:rsidR="00813995" w:rsidRDefault="00813995" w:rsidP="005E28D3">
      <w:pPr>
        <w:numPr>
          <w:ilvl w:val="0"/>
          <w:numId w:val="4"/>
        </w:numPr>
        <w:spacing w:after="0"/>
        <w:contextualSpacing/>
        <w:jc w:val="both"/>
        <w:rPr>
          <w:rFonts w:ascii="Century Gothic" w:hAnsi="Century Gothic"/>
          <w:sz w:val="20"/>
          <w:szCs w:val="20"/>
          <w:lang w:val="fr-BE" w:eastAsia="en-US"/>
        </w:rPr>
      </w:pPr>
      <w:r>
        <w:rPr>
          <w:rFonts w:ascii="Century Gothic" w:hAnsi="Century Gothic"/>
          <w:sz w:val="20"/>
          <w:szCs w:val="20"/>
          <w:lang w:val="fr-BE" w:eastAsia="en-US"/>
        </w:rPr>
        <w:t xml:space="preserve">d’améliorer la </w:t>
      </w:r>
      <w:r>
        <w:rPr>
          <w:rFonts w:ascii="Century Gothic" w:hAnsi="Century Gothic"/>
          <w:b/>
          <w:bCs/>
          <w:sz w:val="20"/>
          <w:szCs w:val="20"/>
          <w:lang w:val="fr-BE" w:eastAsia="en-US"/>
        </w:rPr>
        <w:t>gestion de l'organisation</w:t>
      </w:r>
      <w:r>
        <w:rPr>
          <w:rFonts w:ascii="Century Gothic" w:hAnsi="Century Gothic"/>
          <w:sz w:val="20"/>
          <w:szCs w:val="20"/>
          <w:lang w:val="fr-BE" w:eastAsia="en-US"/>
        </w:rPr>
        <w:t>, à partir d'une analyse des mécanismes de contrôle interne existants ;</w:t>
      </w:r>
    </w:p>
    <w:p w:rsidR="00813995" w:rsidRDefault="00813995" w:rsidP="005E28D3">
      <w:pPr>
        <w:numPr>
          <w:ilvl w:val="0"/>
          <w:numId w:val="4"/>
        </w:numPr>
        <w:spacing w:after="0"/>
        <w:contextualSpacing/>
        <w:jc w:val="both"/>
        <w:rPr>
          <w:rFonts w:ascii="Century Gothic" w:hAnsi="Century Gothic"/>
          <w:sz w:val="20"/>
          <w:szCs w:val="20"/>
          <w:lang w:val="fr-BE" w:eastAsia="en-US"/>
        </w:rPr>
      </w:pPr>
      <w:r>
        <w:rPr>
          <w:rFonts w:ascii="Century Gothic" w:hAnsi="Century Gothic"/>
          <w:sz w:val="20"/>
          <w:szCs w:val="20"/>
          <w:lang w:val="fr-BE" w:eastAsia="en-US"/>
        </w:rPr>
        <w:t xml:space="preserve">d’améliorer la </w:t>
      </w:r>
      <w:r>
        <w:rPr>
          <w:rFonts w:ascii="Century Gothic" w:hAnsi="Century Gothic"/>
          <w:b/>
          <w:bCs/>
          <w:sz w:val="20"/>
          <w:szCs w:val="20"/>
          <w:lang w:val="fr-BE" w:eastAsia="en-US"/>
        </w:rPr>
        <w:t>formation et de l’encadrement</w:t>
      </w:r>
      <w:r>
        <w:rPr>
          <w:rFonts w:ascii="Century Gothic" w:hAnsi="Century Gothic"/>
          <w:sz w:val="20"/>
          <w:szCs w:val="20"/>
          <w:lang w:val="fr-BE" w:eastAsia="en-US"/>
        </w:rPr>
        <w:t xml:space="preserve"> des personnes sur le terrain, à savoir les receveurs de l'administration non-fiscale du recouvrement du SPF Finances. L'utilisation des moyens de recouvrement sera optimisée, l'utilisation des moyens spéciaux de recouvrement, tels que la saisie-arrêt simplifiée, sera encouragée. Les directives à cet égard doivent être distribuées.</w:t>
      </w:r>
    </w:p>
    <w:p w:rsidR="00813995" w:rsidRDefault="00813995" w:rsidP="005E28D3">
      <w:pPr>
        <w:numPr>
          <w:ilvl w:val="0"/>
          <w:numId w:val="4"/>
        </w:numPr>
        <w:spacing w:after="0"/>
        <w:contextualSpacing/>
        <w:jc w:val="both"/>
        <w:rPr>
          <w:rFonts w:ascii="Century Gothic" w:hAnsi="Century Gothic"/>
          <w:sz w:val="20"/>
          <w:szCs w:val="20"/>
          <w:lang w:val="fr-BE" w:eastAsia="en-US"/>
        </w:rPr>
      </w:pPr>
      <w:r>
        <w:rPr>
          <w:rFonts w:ascii="Century Gothic" w:hAnsi="Century Gothic"/>
          <w:sz w:val="20"/>
          <w:szCs w:val="20"/>
          <w:lang w:val="fr-BE" w:eastAsia="en-US"/>
        </w:rPr>
        <w:t>d’examiner si l'organisation actuelle, très décentralisée, répond encore aux besoins. En fonction du résultat de cet examen, des améliorations seront proposées ;</w:t>
      </w:r>
    </w:p>
    <w:p w:rsidR="00813995" w:rsidRDefault="00813995" w:rsidP="005E28D3">
      <w:pPr>
        <w:numPr>
          <w:ilvl w:val="0"/>
          <w:numId w:val="4"/>
        </w:numPr>
        <w:spacing w:after="0"/>
        <w:contextualSpacing/>
        <w:jc w:val="both"/>
        <w:rPr>
          <w:rFonts w:ascii="Century Gothic" w:hAnsi="Century Gothic"/>
          <w:sz w:val="20"/>
          <w:szCs w:val="20"/>
          <w:lang w:val="fr-BE" w:eastAsia="en-US"/>
        </w:rPr>
      </w:pPr>
      <w:r>
        <w:rPr>
          <w:rFonts w:ascii="Century Gothic" w:hAnsi="Century Gothic"/>
          <w:sz w:val="20"/>
          <w:szCs w:val="20"/>
          <w:lang w:val="fr-BE" w:eastAsia="en-US"/>
        </w:rPr>
        <w:t xml:space="preserve">de mettre en place, à moyen terme, un </w:t>
      </w:r>
      <w:r>
        <w:rPr>
          <w:rFonts w:ascii="Century Gothic" w:hAnsi="Century Gothic"/>
          <w:b/>
          <w:bCs/>
          <w:sz w:val="20"/>
          <w:szCs w:val="20"/>
          <w:lang w:val="fr-BE" w:eastAsia="en-US"/>
        </w:rPr>
        <w:t>système automatisé</w:t>
      </w:r>
      <w:r>
        <w:rPr>
          <w:rFonts w:ascii="Century Gothic" w:hAnsi="Century Gothic"/>
          <w:sz w:val="20"/>
          <w:szCs w:val="20"/>
          <w:lang w:val="fr-BE" w:eastAsia="en-US"/>
        </w:rPr>
        <w:t xml:space="preserve"> qui recevra les données de façon centralisée, prendra en charge le processus de recouvrement et enverra automatiquement le feedback ;</w:t>
      </w:r>
    </w:p>
    <w:p w:rsidR="00813995" w:rsidRDefault="00813995" w:rsidP="005E28D3">
      <w:pPr>
        <w:numPr>
          <w:ilvl w:val="0"/>
          <w:numId w:val="4"/>
        </w:numPr>
        <w:spacing w:after="0"/>
        <w:contextualSpacing/>
        <w:jc w:val="both"/>
        <w:rPr>
          <w:rFonts w:ascii="Century Gothic" w:hAnsi="Century Gothic"/>
          <w:sz w:val="20"/>
          <w:szCs w:val="20"/>
          <w:lang w:val="fr-BE" w:eastAsia="en-US"/>
        </w:rPr>
      </w:pPr>
      <w:r>
        <w:rPr>
          <w:rFonts w:ascii="Century Gothic" w:hAnsi="Century Gothic"/>
          <w:sz w:val="20"/>
          <w:szCs w:val="20"/>
          <w:lang w:val="fr-BE" w:eastAsia="en-US"/>
        </w:rPr>
        <w:t xml:space="preserve">de développer, conjointement avec la justice, des </w:t>
      </w:r>
      <w:r>
        <w:rPr>
          <w:rFonts w:ascii="Century Gothic" w:hAnsi="Century Gothic"/>
          <w:b/>
          <w:bCs/>
          <w:sz w:val="20"/>
          <w:szCs w:val="20"/>
          <w:lang w:val="fr-BE" w:eastAsia="en-US"/>
        </w:rPr>
        <w:t>procédures communes de rapport</w:t>
      </w:r>
      <w:r>
        <w:rPr>
          <w:rFonts w:ascii="Century Gothic" w:hAnsi="Century Gothic"/>
          <w:sz w:val="20"/>
          <w:szCs w:val="20"/>
          <w:lang w:val="fr-BE" w:eastAsia="en-US"/>
        </w:rPr>
        <w:t xml:space="preserve"> pour l'exécution plus efficace des amendes pénales et des peines pécuniaires.  </w:t>
      </w:r>
    </w:p>
    <w:p w:rsidR="00813995" w:rsidRDefault="00813995" w:rsidP="008F3AC1">
      <w:pPr>
        <w:jc w:val="both"/>
        <w:rPr>
          <w:rFonts w:ascii="Century Gothic" w:hAnsi="Century Gothic"/>
          <w:sz w:val="20"/>
          <w:szCs w:val="20"/>
          <w:u w:val="single"/>
          <w:lang w:val="fr-BE"/>
        </w:rPr>
      </w:pPr>
    </w:p>
    <w:p w:rsidR="0088267B" w:rsidRPr="00813995" w:rsidRDefault="0088267B" w:rsidP="008F3AC1">
      <w:pPr>
        <w:jc w:val="both"/>
        <w:rPr>
          <w:rFonts w:ascii="Century Gothic" w:hAnsi="Century Gothic"/>
          <w:sz w:val="20"/>
          <w:szCs w:val="20"/>
          <w:u w:val="single"/>
          <w:lang w:val="fr-BE"/>
        </w:rPr>
      </w:pPr>
    </w:p>
    <w:sectPr w:rsidR="0088267B" w:rsidRPr="0081399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93" w:rsidRDefault="00D62E93" w:rsidP="00A10E1E">
      <w:pPr>
        <w:spacing w:after="0" w:line="240" w:lineRule="auto"/>
      </w:pPr>
      <w:r>
        <w:separator/>
      </w:r>
    </w:p>
  </w:endnote>
  <w:endnote w:type="continuationSeparator" w:id="0">
    <w:p w:rsidR="00D62E93" w:rsidRDefault="00D62E93" w:rsidP="00A1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1E" w:rsidRDefault="00A10E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1E" w:rsidRDefault="00A10E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1E" w:rsidRDefault="00A10E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93" w:rsidRDefault="00D62E93" w:rsidP="00A10E1E">
      <w:pPr>
        <w:spacing w:after="0" w:line="240" w:lineRule="auto"/>
      </w:pPr>
      <w:r>
        <w:separator/>
      </w:r>
    </w:p>
  </w:footnote>
  <w:footnote w:type="continuationSeparator" w:id="0">
    <w:p w:rsidR="00D62E93" w:rsidRDefault="00D62E93" w:rsidP="00A10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1E" w:rsidRDefault="00A10E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1E" w:rsidRDefault="00A10E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1E" w:rsidRDefault="00A10E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3F1"/>
    <w:multiLevelType w:val="hybridMultilevel"/>
    <w:tmpl w:val="FFC84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9E78B3"/>
    <w:multiLevelType w:val="hybridMultilevel"/>
    <w:tmpl w:val="DC58A8B4"/>
    <w:lvl w:ilvl="0" w:tplc="2E108A44">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F06E2"/>
    <w:multiLevelType w:val="hybridMultilevel"/>
    <w:tmpl w:val="97B8151C"/>
    <w:lvl w:ilvl="0" w:tplc="4B24FC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D3"/>
    <w:rsid w:val="000572B3"/>
    <w:rsid w:val="00130A9A"/>
    <w:rsid w:val="00243ABC"/>
    <w:rsid w:val="002B7B92"/>
    <w:rsid w:val="00334094"/>
    <w:rsid w:val="0035292B"/>
    <w:rsid w:val="00421D16"/>
    <w:rsid w:val="004B281C"/>
    <w:rsid w:val="005E28D3"/>
    <w:rsid w:val="006069C0"/>
    <w:rsid w:val="006523A3"/>
    <w:rsid w:val="006A06F4"/>
    <w:rsid w:val="0070799C"/>
    <w:rsid w:val="00720309"/>
    <w:rsid w:val="007D03CF"/>
    <w:rsid w:val="007F4FD3"/>
    <w:rsid w:val="00805F13"/>
    <w:rsid w:val="00813995"/>
    <w:rsid w:val="0088267B"/>
    <w:rsid w:val="00886F43"/>
    <w:rsid w:val="008935A1"/>
    <w:rsid w:val="008A2A96"/>
    <w:rsid w:val="008C724C"/>
    <w:rsid w:val="008D77ED"/>
    <w:rsid w:val="008F3AC1"/>
    <w:rsid w:val="00941F88"/>
    <w:rsid w:val="009D7AD5"/>
    <w:rsid w:val="00A10E1E"/>
    <w:rsid w:val="00A1282F"/>
    <w:rsid w:val="00AA6530"/>
    <w:rsid w:val="00AA7ABC"/>
    <w:rsid w:val="00B74C8F"/>
    <w:rsid w:val="00B77E39"/>
    <w:rsid w:val="00B81A20"/>
    <w:rsid w:val="00BB464E"/>
    <w:rsid w:val="00C854D3"/>
    <w:rsid w:val="00CA3E98"/>
    <w:rsid w:val="00CB0D5D"/>
    <w:rsid w:val="00CB7222"/>
    <w:rsid w:val="00CC0470"/>
    <w:rsid w:val="00CC31F9"/>
    <w:rsid w:val="00D62E93"/>
    <w:rsid w:val="00D65453"/>
    <w:rsid w:val="00D76BD6"/>
    <w:rsid w:val="00DA5828"/>
    <w:rsid w:val="00DC4AFB"/>
    <w:rsid w:val="00DE2EFC"/>
    <w:rsid w:val="00DE3F13"/>
    <w:rsid w:val="00DF1633"/>
    <w:rsid w:val="00ED41E3"/>
    <w:rsid w:val="00F216C0"/>
    <w:rsid w:val="00F46127"/>
    <w:rsid w:val="00F548ED"/>
    <w:rsid w:val="00F90B0F"/>
    <w:rsid w:val="00FC0A22"/>
    <w:rsid w:val="00FD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35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5A1"/>
    <w:rPr>
      <w:rFonts w:ascii="Tahoma" w:hAnsi="Tahoma" w:cs="Tahoma"/>
      <w:sz w:val="16"/>
      <w:szCs w:val="16"/>
    </w:rPr>
  </w:style>
  <w:style w:type="character" w:styleId="Marquedecommentaire">
    <w:name w:val="annotation reference"/>
    <w:basedOn w:val="Policepardfaut"/>
    <w:uiPriority w:val="99"/>
    <w:semiHidden/>
    <w:unhideWhenUsed/>
    <w:rsid w:val="00AA7ABC"/>
    <w:rPr>
      <w:sz w:val="16"/>
      <w:szCs w:val="16"/>
    </w:rPr>
  </w:style>
  <w:style w:type="paragraph" w:styleId="Commentaire">
    <w:name w:val="annotation text"/>
    <w:basedOn w:val="Normal"/>
    <w:link w:val="CommentaireCar"/>
    <w:uiPriority w:val="99"/>
    <w:semiHidden/>
    <w:unhideWhenUsed/>
    <w:rsid w:val="00AA7ABC"/>
    <w:pPr>
      <w:spacing w:line="240" w:lineRule="auto"/>
    </w:pPr>
    <w:rPr>
      <w:sz w:val="20"/>
      <w:szCs w:val="20"/>
    </w:rPr>
  </w:style>
  <w:style w:type="character" w:customStyle="1" w:styleId="CommentaireCar">
    <w:name w:val="Commentaire Car"/>
    <w:basedOn w:val="Policepardfaut"/>
    <w:link w:val="Commentaire"/>
    <w:uiPriority w:val="99"/>
    <w:semiHidden/>
    <w:rsid w:val="00AA7ABC"/>
    <w:rPr>
      <w:sz w:val="20"/>
      <w:szCs w:val="20"/>
    </w:rPr>
  </w:style>
  <w:style w:type="paragraph" w:styleId="Objetducommentaire">
    <w:name w:val="annotation subject"/>
    <w:basedOn w:val="Commentaire"/>
    <w:next w:val="Commentaire"/>
    <w:link w:val="ObjetducommentaireCar"/>
    <w:uiPriority w:val="99"/>
    <w:semiHidden/>
    <w:unhideWhenUsed/>
    <w:rsid w:val="00AA7ABC"/>
    <w:rPr>
      <w:b/>
      <w:bCs/>
    </w:rPr>
  </w:style>
  <w:style w:type="character" w:customStyle="1" w:styleId="ObjetducommentaireCar">
    <w:name w:val="Objet du commentaire Car"/>
    <w:basedOn w:val="CommentaireCar"/>
    <w:link w:val="Objetducommentaire"/>
    <w:uiPriority w:val="99"/>
    <w:semiHidden/>
    <w:rsid w:val="00AA7ABC"/>
    <w:rPr>
      <w:b/>
      <w:bCs/>
      <w:sz w:val="20"/>
      <w:szCs w:val="20"/>
    </w:rPr>
  </w:style>
  <w:style w:type="paragraph" w:styleId="Paragraphedeliste">
    <w:name w:val="List Paragraph"/>
    <w:basedOn w:val="Normal"/>
    <w:uiPriority w:val="34"/>
    <w:qFormat/>
    <w:rsid w:val="004B281C"/>
    <w:pPr>
      <w:ind w:left="720"/>
      <w:contextualSpacing/>
    </w:pPr>
  </w:style>
  <w:style w:type="paragraph" w:styleId="En-tte">
    <w:name w:val="header"/>
    <w:basedOn w:val="Normal"/>
    <w:link w:val="En-tteCar"/>
    <w:uiPriority w:val="99"/>
    <w:unhideWhenUsed/>
    <w:rsid w:val="00A10E1E"/>
    <w:pPr>
      <w:tabs>
        <w:tab w:val="center" w:pos="4513"/>
        <w:tab w:val="right" w:pos="9026"/>
      </w:tabs>
      <w:spacing w:after="0" w:line="240" w:lineRule="auto"/>
    </w:pPr>
  </w:style>
  <w:style w:type="character" w:customStyle="1" w:styleId="En-tteCar">
    <w:name w:val="En-tête Car"/>
    <w:basedOn w:val="Policepardfaut"/>
    <w:link w:val="En-tte"/>
    <w:uiPriority w:val="99"/>
    <w:rsid w:val="00A10E1E"/>
  </w:style>
  <w:style w:type="paragraph" w:styleId="Pieddepage">
    <w:name w:val="footer"/>
    <w:basedOn w:val="Normal"/>
    <w:link w:val="PieddepageCar"/>
    <w:uiPriority w:val="99"/>
    <w:unhideWhenUsed/>
    <w:rsid w:val="00A10E1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10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35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5A1"/>
    <w:rPr>
      <w:rFonts w:ascii="Tahoma" w:hAnsi="Tahoma" w:cs="Tahoma"/>
      <w:sz w:val="16"/>
      <w:szCs w:val="16"/>
    </w:rPr>
  </w:style>
  <w:style w:type="character" w:styleId="Marquedecommentaire">
    <w:name w:val="annotation reference"/>
    <w:basedOn w:val="Policepardfaut"/>
    <w:uiPriority w:val="99"/>
    <w:semiHidden/>
    <w:unhideWhenUsed/>
    <w:rsid w:val="00AA7ABC"/>
    <w:rPr>
      <w:sz w:val="16"/>
      <w:szCs w:val="16"/>
    </w:rPr>
  </w:style>
  <w:style w:type="paragraph" w:styleId="Commentaire">
    <w:name w:val="annotation text"/>
    <w:basedOn w:val="Normal"/>
    <w:link w:val="CommentaireCar"/>
    <w:uiPriority w:val="99"/>
    <w:semiHidden/>
    <w:unhideWhenUsed/>
    <w:rsid w:val="00AA7ABC"/>
    <w:pPr>
      <w:spacing w:line="240" w:lineRule="auto"/>
    </w:pPr>
    <w:rPr>
      <w:sz w:val="20"/>
      <w:szCs w:val="20"/>
    </w:rPr>
  </w:style>
  <w:style w:type="character" w:customStyle="1" w:styleId="CommentaireCar">
    <w:name w:val="Commentaire Car"/>
    <w:basedOn w:val="Policepardfaut"/>
    <w:link w:val="Commentaire"/>
    <w:uiPriority w:val="99"/>
    <w:semiHidden/>
    <w:rsid w:val="00AA7ABC"/>
    <w:rPr>
      <w:sz w:val="20"/>
      <w:szCs w:val="20"/>
    </w:rPr>
  </w:style>
  <w:style w:type="paragraph" w:styleId="Objetducommentaire">
    <w:name w:val="annotation subject"/>
    <w:basedOn w:val="Commentaire"/>
    <w:next w:val="Commentaire"/>
    <w:link w:val="ObjetducommentaireCar"/>
    <w:uiPriority w:val="99"/>
    <w:semiHidden/>
    <w:unhideWhenUsed/>
    <w:rsid w:val="00AA7ABC"/>
    <w:rPr>
      <w:b/>
      <w:bCs/>
    </w:rPr>
  </w:style>
  <w:style w:type="character" w:customStyle="1" w:styleId="ObjetducommentaireCar">
    <w:name w:val="Objet du commentaire Car"/>
    <w:basedOn w:val="CommentaireCar"/>
    <w:link w:val="Objetducommentaire"/>
    <w:uiPriority w:val="99"/>
    <w:semiHidden/>
    <w:rsid w:val="00AA7ABC"/>
    <w:rPr>
      <w:b/>
      <w:bCs/>
      <w:sz w:val="20"/>
      <w:szCs w:val="20"/>
    </w:rPr>
  </w:style>
  <w:style w:type="paragraph" w:styleId="Paragraphedeliste">
    <w:name w:val="List Paragraph"/>
    <w:basedOn w:val="Normal"/>
    <w:uiPriority w:val="34"/>
    <w:qFormat/>
    <w:rsid w:val="004B281C"/>
    <w:pPr>
      <w:ind w:left="720"/>
      <w:contextualSpacing/>
    </w:pPr>
  </w:style>
  <w:style w:type="paragraph" w:styleId="En-tte">
    <w:name w:val="header"/>
    <w:basedOn w:val="Normal"/>
    <w:link w:val="En-tteCar"/>
    <w:uiPriority w:val="99"/>
    <w:unhideWhenUsed/>
    <w:rsid w:val="00A10E1E"/>
    <w:pPr>
      <w:tabs>
        <w:tab w:val="center" w:pos="4513"/>
        <w:tab w:val="right" w:pos="9026"/>
      </w:tabs>
      <w:spacing w:after="0" w:line="240" w:lineRule="auto"/>
    </w:pPr>
  </w:style>
  <w:style w:type="character" w:customStyle="1" w:styleId="En-tteCar">
    <w:name w:val="En-tête Car"/>
    <w:basedOn w:val="Policepardfaut"/>
    <w:link w:val="En-tte"/>
    <w:uiPriority w:val="99"/>
    <w:rsid w:val="00A10E1E"/>
  </w:style>
  <w:style w:type="paragraph" w:styleId="Pieddepage">
    <w:name w:val="footer"/>
    <w:basedOn w:val="Normal"/>
    <w:link w:val="PieddepageCar"/>
    <w:uiPriority w:val="99"/>
    <w:unhideWhenUsed/>
    <w:rsid w:val="00A10E1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1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595">
      <w:bodyDiv w:val="1"/>
      <w:marLeft w:val="0"/>
      <w:marRight w:val="0"/>
      <w:marTop w:val="0"/>
      <w:marBottom w:val="0"/>
      <w:divBdr>
        <w:top w:val="none" w:sz="0" w:space="0" w:color="auto"/>
        <w:left w:val="none" w:sz="0" w:space="0" w:color="auto"/>
        <w:bottom w:val="none" w:sz="0" w:space="0" w:color="auto"/>
        <w:right w:val="none" w:sz="0" w:space="0" w:color="auto"/>
      </w:divBdr>
    </w:div>
    <w:div w:id="1184439737">
      <w:bodyDiv w:val="1"/>
      <w:marLeft w:val="0"/>
      <w:marRight w:val="0"/>
      <w:marTop w:val="0"/>
      <w:marBottom w:val="0"/>
      <w:divBdr>
        <w:top w:val="none" w:sz="0" w:space="0" w:color="auto"/>
        <w:left w:val="none" w:sz="0" w:space="0" w:color="auto"/>
        <w:bottom w:val="none" w:sz="0" w:space="0" w:color="auto"/>
        <w:right w:val="none" w:sz="0" w:space="0" w:color="auto"/>
      </w:divBdr>
    </w:div>
    <w:div w:id="21071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54C8-AF28-4741-9A6E-D51A3495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3776</Characters>
  <Application>Microsoft Office Word</Application>
  <DocSecurity>4</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 Justitie / SPF Justice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Donckier de Donceel Margaux</dc:creator>
  <cp:lastModifiedBy>Springael Christophe</cp:lastModifiedBy>
  <cp:revision>2</cp:revision>
  <cp:lastPrinted>2014-02-06T12:26:00Z</cp:lastPrinted>
  <dcterms:created xsi:type="dcterms:W3CDTF">2014-02-07T14:09:00Z</dcterms:created>
  <dcterms:modified xsi:type="dcterms:W3CDTF">2014-02-07T14:09:00Z</dcterms:modified>
</cp:coreProperties>
</file>