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8FA" w:rsidRDefault="004D38FA" w:rsidP="004D38FA">
      <w:pPr>
        <w:rPr>
          <w:rFonts w:ascii="Century Gothic" w:hAnsi="Century Gothic"/>
          <w:b/>
          <w:u w:val="single"/>
          <w:lang w:val="nl-BE"/>
        </w:rPr>
      </w:pPr>
      <w:bookmarkStart w:id="0" w:name="_GoBack"/>
      <w:bookmarkEnd w:id="0"/>
      <w:r>
        <w:rPr>
          <w:rFonts w:ascii="Century Gothic" w:hAnsi="Century Gothic"/>
          <w:b/>
          <w:u w:val="single"/>
          <w:lang w:val="nl-BE"/>
        </w:rPr>
        <w:t xml:space="preserve">Kern keurt wetsvoorstellen justitie goed </w:t>
      </w:r>
    </w:p>
    <w:p w:rsidR="004D38FA" w:rsidRPr="004D38FA" w:rsidRDefault="004D38FA" w:rsidP="004D38FA">
      <w:pPr>
        <w:rPr>
          <w:rFonts w:ascii="Century Gothic" w:hAnsi="Century Gothic"/>
          <w:sz w:val="20"/>
          <w:lang w:val="nl-BE"/>
        </w:rPr>
      </w:pPr>
      <w:r w:rsidRPr="004D38FA">
        <w:rPr>
          <w:rFonts w:ascii="Century Gothic" w:hAnsi="Century Gothic"/>
          <w:sz w:val="20"/>
          <w:lang w:val="nl-BE"/>
        </w:rPr>
        <w:t xml:space="preserve">Vandaag werd op de kern het justitie-luik voor de wet diverse bepalingen besproken. </w:t>
      </w:r>
      <w:r>
        <w:rPr>
          <w:rFonts w:ascii="Century Gothic" w:hAnsi="Century Gothic"/>
          <w:sz w:val="20"/>
          <w:lang w:val="nl-BE"/>
        </w:rPr>
        <w:t>Nadat vandaag het politieke akkoord werd gegeven, gaan deze voorstellen nu voor advies naar de Raad van S</w:t>
      </w:r>
      <w:r w:rsidRPr="004D38FA">
        <w:rPr>
          <w:rFonts w:ascii="Century Gothic" w:hAnsi="Century Gothic"/>
          <w:sz w:val="20"/>
          <w:lang w:val="nl-BE"/>
        </w:rPr>
        <w:t>tate</w:t>
      </w:r>
      <w:r>
        <w:rPr>
          <w:rFonts w:ascii="Century Gothic" w:hAnsi="Century Gothic"/>
          <w:sz w:val="20"/>
          <w:lang w:val="nl-BE"/>
        </w:rPr>
        <w:t>, waarna ze zullen worden ingediend in het parlement</w:t>
      </w:r>
      <w:r w:rsidRPr="004D38FA">
        <w:rPr>
          <w:rFonts w:ascii="Century Gothic" w:hAnsi="Century Gothic"/>
          <w:sz w:val="20"/>
          <w:lang w:val="nl-BE"/>
        </w:rPr>
        <w:t xml:space="preserve">. </w:t>
      </w:r>
    </w:p>
    <w:p w:rsidR="006702E9" w:rsidRDefault="006702E9" w:rsidP="006702E9">
      <w:pPr>
        <w:pStyle w:val="ListParagraph"/>
        <w:jc w:val="both"/>
        <w:rPr>
          <w:b/>
          <w:u w:val="single"/>
          <w:lang w:val="nl-BE"/>
        </w:rPr>
      </w:pPr>
    </w:p>
    <w:p w:rsidR="006702E9" w:rsidRPr="006702E9" w:rsidRDefault="006702E9" w:rsidP="006702E9">
      <w:pPr>
        <w:pStyle w:val="ListParagraph"/>
        <w:numPr>
          <w:ilvl w:val="0"/>
          <w:numId w:val="3"/>
        </w:numPr>
        <w:rPr>
          <w:b/>
          <w:sz w:val="22"/>
          <w:szCs w:val="20"/>
          <w:u w:val="single"/>
          <w:lang w:val="nl-BE"/>
        </w:rPr>
      </w:pPr>
      <w:r w:rsidRPr="006702E9">
        <w:rPr>
          <w:b/>
          <w:sz w:val="22"/>
          <w:szCs w:val="20"/>
          <w:u w:val="single"/>
          <w:lang w:val="nl-BE"/>
        </w:rPr>
        <w:t>Voorhechtenis onder elektronisch toezicht</w:t>
      </w:r>
    </w:p>
    <w:p w:rsidR="006702E9" w:rsidRPr="004D38FA" w:rsidRDefault="006702E9" w:rsidP="006702E9">
      <w:pPr>
        <w:jc w:val="both"/>
        <w:rPr>
          <w:rFonts w:ascii="Century Gothic" w:hAnsi="Century Gothic"/>
          <w:b/>
          <w:sz w:val="20"/>
          <w:szCs w:val="20"/>
          <w:lang w:val="nl-BE"/>
        </w:rPr>
      </w:pPr>
      <w:r w:rsidRPr="004D38FA">
        <w:rPr>
          <w:rFonts w:ascii="Century Gothic" w:hAnsi="Century Gothic"/>
          <w:b/>
          <w:sz w:val="20"/>
          <w:szCs w:val="20"/>
          <w:lang w:val="nl-BE"/>
        </w:rPr>
        <w:t>Veertig procent van de gedetineerden zit in voorlopige hechtenis. Om de overbevolking een stukje te kunnen terugschroeven, krijgen rechters voortaan de mogelijkheid mensen in voorlopige hechtenis onder thuisdetentie met elektronisch toezicht met GPS te plaatsen. Een dag onder elektronisch toezicht wordt in de nieuwe wet diverse bepalingen gelijkgesteld aan een dag voorhechtenis.</w:t>
      </w:r>
    </w:p>
    <w:p w:rsidR="006702E9" w:rsidRPr="004D38FA" w:rsidRDefault="006702E9" w:rsidP="006702E9">
      <w:pPr>
        <w:jc w:val="both"/>
        <w:rPr>
          <w:rFonts w:ascii="Century Gothic" w:hAnsi="Century Gothic"/>
          <w:sz w:val="20"/>
          <w:szCs w:val="20"/>
          <w:lang w:val="nl-BE"/>
        </w:rPr>
      </w:pPr>
      <w:r w:rsidRPr="004D38FA">
        <w:rPr>
          <w:rFonts w:ascii="Century Gothic" w:hAnsi="Century Gothic"/>
          <w:sz w:val="20"/>
          <w:szCs w:val="20"/>
          <w:lang w:val="nl-BE"/>
        </w:rPr>
        <w:t xml:space="preserve">Volgens schattingen zou het aantal personen dat hiervoor in aanmerking komt, goed zijn voor zo’n 5 tot 19% van de huidige dagpopulatie. Dit komt neer op 200 tot 400 dossiers. Het blijft wel aan de rechter om te beslissen of de aangehouden persoon hiervoor in aanmerking komt. </w:t>
      </w:r>
    </w:p>
    <w:p w:rsidR="006702E9" w:rsidRPr="004D38FA" w:rsidRDefault="006702E9" w:rsidP="006702E9">
      <w:pPr>
        <w:rPr>
          <w:rFonts w:ascii="Century Gothic" w:hAnsi="Century Gothic"/>
          <w:sz w:val="20"/>
          <w:szCs w:val="20"/>
          <w:lang w:val="nl-BE"/>
        </w:rPr>
      </w:pPr>
      <w:r w:rsidRPr="004D38FA">
        <w:rPr>
          <w:rFonts w:ascii="Century Gothic" w:hAnsi="Century Gothic"/>
          <w:sz w:val="20"/>
          <w:szCs w:val="20"/>
          <w:lang w:val="nl-BE"/>
        </w:rPr>
        <w:t>De onderzoeksrechter kan bijkomende voorwaarden opleggen aan de verdachte die onder elektronisch toezicht wordt geplaatst:</w:t>
      </w:r>
    </w:p>
    <w:p w:rsidR="006702E9" w:rsidRPr="004D38FA" w:rsidRDefault="006702E9" w:rsidP="006702E9">
      <w:pPr>
        <w:pStyle w:val="ListParagraph"/>
        <w:numPr>
          <w:ilvl w:val="0"/>
          <w:numId w:val="1"/>
        </w:numPr>
        <w:rPr>
          <w:szCs w:val="20"/>
          <w:lang w:val="nl-BE"/>
        </w:rPr>
      </w:pPr>
      <w:r w:rsidRPr="004D38FA">
        <w:rPr>
          <w:szCs w:val="20"/>
          <w:lang w:val="nl-BE"/>
        </w:rPr>
        <w:t>Hij kan verbieden dat de verdachte bezoek ontvangen van individueel in het bevel vermelde personen</w:t>
      </w:r>
    </w:p>
    <w:p w:rsidR="006702E9" w:rsidRPr="004D38FA" w:rsidRDefault="006702E9" w:rsidP="006702E9">
      <w:pPr>
        <w:pStyle w:val="ListParagraph"/>
        <w:numPr>
          <w:ilvl w:val="0"/>
          <w:numId w:val="1"/>
        </w:numPr>
        <w:rPr>
          <w:szCs w:val="20"/>
          <w:lang w:val="nl-BE"/>
        </w:rPr>
      </w:pPr>
      <w:r w:rsidRPr="004D38FA">
        <w:rPr>
          <w:szCs w:val="20"/>
          <w:lang w:val="nl-BE"/>
        </w:rPr>
        <w:t>Hij kan briefwisseling, telefonisch en elektronisch contact verbieden van in het bevel vermelde personen of instellingen</w:t>
      </w:r>
    </w:p>
    <w:p w:rsidR="006702E9" w:rsidRPr="004D38FA" w:rsidRDefault="006702E9" w:rsidP="006702E9">
      <w:pPr>
        <w:rPr>
          <w:rFonts w:ascii="Century Gothic" w:hAnsi="Century Gothic"/>
          <w:sz w:val="20"/>
          <w:szCs w:val="20"/>
          <w:lang w:val="nl-BE"/>
        </w:rPr>
      </w:pPr>
      <w:r w:rsidRPr="004D38FA">
        <w:rPr>
          <w:rFonts w:ascii="Century Gothic" w:hAnsi="Century Gothic"/>
          <w:sz w:val="20"/>
          <w:szCs w:val="20"/>
          <w:lang w:val="nl-BE"/>
        </w:rPr>
        <w:t xml:space="preserve">Wanneer de onderzoeksrechter dit nodig acht, kan hij op elk moment, ambtshalve of op vordering van de Procureur des Konings, beslissen om de voorhechtenis onder elektronisch toezicht alsnog om te zetten in voorhechtenis in de gevangenis. </w:t>
      </w:r>
      <w:r w:rsidRPr="004D38FA">
        <w:rPr>
          <w:rFonts w:ascii="Century Gothic" w:hAnsi="Century Gothic"/>
          <w:sz w:val="20"/>
          <w:szCs w:val="20"/>
          <w:lang w:val="nl-BE"/>
        </w:rPr>
        <w:br/>
        <w:t>Hij kan hiertoe beslissen:</w:t>
      </w:r>
    </w:p>
    <w:p w:rsidR="006702E9" w:rsidRPr="004D38FA" w:rsidRDefault="006702E9" w:rsidP="006702E9">
      <w:pPr>
        <w:pStyle w:val="ListParagraph"/>
        <w:numPr>
          <w:ilvl w:val="0"/>
          <w:numId w:val="2"/>
        </w:numPr>
        <w:rPr>
          <w:szCs w:val="20"/>
          <w:lang w:val="nl-BE"/>
        </w:rPr>
      </w:pPr>
      <w:r w:rsidRPr="004D38FA">
        <w:rPr>
          <w:szCs w:val="20"/>
          <w:lang w:val="nl-BE"/>
        </w:rPr>
        <w:t>wanneer de verdachte niet komt opdagen bij een procesafhandeling</w:t>
      </w:r>
    </w:p>
    <w:p w:rsidR="006702E9" w:rsidRPr="004D38FA" w:rsidRDefault="006702E9" w:rsidP="006702E9">
      <w:pPr>
        <w:pStyle w:val="ListParagraph"/>
        <w:numPr>
          <w:ilvl w:val="0"/>
          <w:numId w:val="2"/>
        </w:numPr>
        <w:rPr>
          <w:szCs w:val="20"/>
          <w:lang w:val="nl-BE"/>
        </w:rPr>
      </w:pPr>
      <w:r w:rsidRPr="004D38FA">
        <w:rPr>
          <w:szCs w:val="20"/>
          <w:lang w:val="nl-BE"/>
        </w:rPr>
        <w:t>wanneer de verdachte de regels van het elektronisch toezicht niet naleeft</w:t>
      </w:r>
    </w:p>
    <w:p w:rsidR="006702E9" w:rsidRPr="004D38FA" w:rsidRDefault="006702E9" w:rsidP="006702E9">
      <w:pPr>
        <w:pStyle w:val="ListParagraph"/>
        <w:numPr>
          <w:ilvl w:val="0"/>
          <w:numId w:val="2"/>
        </w:numPr>
        <w:rPr>
          <w:szCs w:val="20"/>
          <w:lang w:val="nl-BE"/>
        </w:rPr>
      </w:pPr>
      <w:r w:rsidRPr="004D38FA">
        <w:rPr>
          <w:szCs w:val="20"/>
          <w:lang w:val="nl-BE"/>
        </w:rPr>
        <w:t>wanneer de verdachte de voorwaarden overtreedt</w:t>
      </w:r>
    </w:p>
    <w:p w:rsidR="006702E9" w:rsidRPr="004D38FA" w:rsidRDefault="006702E9" w:rsidP="006702E9">
      <w:pPr>
        <w:pStyle w:val="ListParagraph"/>
        <w:numPr>
          <w:ilvl w:val="0"/>
          <w:numId w:val="2"/>
        </w:numPr>
        <w:rPr>
          <w:szCs w:val="20"/>
          <w:lang w:val="nl-BE"/>
        </w:rPr>
      </w:pPr>
      <w:r w:rsidRPr="004D38FA">
        <w:rPr>
          <w:szCs w:val="20"/>
          <w:lang w:val="nl-BE"/>
        </w:rPr>
        <w:t>indien nieuwe en ernstige omstandigheden dit noodzakelijk maken</w:t>
      </w:r>
    </w:p>
    <w:p w:rsidR="006702E9" w:rsidRDefault="006702E9" w:rsidP="006702E9">
      <w:pPr>
        <w:rPr>
          <w:rFonts w:ascii="Century Gothic" w:hAnsi="Century Gothic"/>
          <w:sz w:val="20"/>
          <w:szCs w:val="20"/>
          <w:lang w:val="nl-BE"/>
        </w:rPr>
      </w:pPr>
      <w:r w:rsidRPr="004D38FA">
        <w:rPr>
          <w:rFonts w:ascii="Century Gothic" w:hAnsi="Century Gothic"/>
          <w:sz w:val="20"/>
          <w:szCs w:val="20"/>
          <w:lang w:val="nl-BE"/>
        </w:rPr>
        <w:t xml:space="preserve">Voor deze voorlopige hechtenis zal gewerkt worden met een nieuwe vorm van elektronisch toezicht, namelijk elektronisch toezicht met GPS. Met deze technologie kan de daadwerkelijke en voortdurende aanwezigheid van de betrokkene in zijn woonplaats gegarandeerd worden, waarbij bepaalde verplaatsingen evenwel kunnen worden toegestaan, zoals andere verplaatsingen in het kader van het onderzoek en de gerechtelijke procedure. </w:t>
      </w:r>
    </w:p>
    <w:p w:rsidR="006702E9" w:rsidRDefault="006702E9" w:rsidP="006702E9">
      <w:pPr>
        <w:rPr>
          <w:rFonts w:ascii="Century Gothic" w:hAnsi="Century Gothic"/>
          <w:sz w:val="20"/>
          <w:szCs w:val="20"/>
          <w:lang w:val="nl-BE"/>
        </w:rPr>
      </w:pPr>
    </w:p>
    <w:p w:rsidR="006702E9" w:rsidRDefault="006702E9" w:rsidP="006702E9">
      <w:pPr>
        <w:rPr>
          <w:rFonts w:ascii="Century Gothic" w:hAnsi="Century Gothic"/>
          <w:sz w:val="20"/>
          <w:szCs w:val="20"/>
          <w:lang w:val="nl-BE"/>
        </w:rPr>
      </w:pPr>
    </w:p>
    <w:p w:rsidR="006702E9" w:rsidRDefault="006702E9" w:rsidP="006702E9">
      <w:pPr>
        <w:rPr>
          <w:rFonts w:ascii="Century Gothic" w:hAnsi="Century Gothic"/>
          <w:sz w:val="20"/>
          <w:szCs w:val="20"/>
          <w:lang w:val="nl-BE"/>
        </w:rPr>
      </w:pPr>
    </w:p>
    <w:p w:rsidR="006702E9" w:rsidRPr="004D38FA" w:rsidRDefault="006702E9" w:rsidP="006702E9">
      <w:pPr>
        <w:rPr>
          <w:rFonts w:ascii="Century Gothic" w:hAnsi="Century Gothic"/>
          <w:sz w:val="20"/>
          <w:szCs w:val="20"/>
          <w:lang w:val="nl-BE"/>
        </w:rPr>
      </w:pPr>
    </w:p>
    <w:p w:rsidR="006702E9" w:rsidRPr="006702E9" w:rsidRDefault="006702E9" w:rsidP="006702E9">
      <w:pPr>
        <w:pStyle w:val="ListParagraph"/>
        <w:numPr>
          <w:ilvl w:val="0"/>
          <w:numId w:val="3"/>
        </w:numPr>
        <w:rPr>
          <w:b/>
          <w:sz w:val="22"/>
          <w:u w:val="single"/>
          <w:lang w:val="nl-BE"/>
        </w:rPr>
      </w:pPr>
      <w:r w:rsidRPr="006702E9">
        <w:rPr>
          <w:b/>
          <w:sz w:val="22"/>
          <w:u w:val="single"/>
          <w:lang w:val="nl-BE"/>
        </w:rPr>
        <w:lastRenderedPageBreak/>
        <w:t>Verdachte niet langer verplicht zelf persoonlijk te verschijnen in strafzaken</w:t>
      </w:r>
    </w:p>
    <w:p w:rsidR="006702E9" w:rsidRPr="004D38FA" w:rsidRDefault="006702E9" w:rsidP="006702E9">
      <w:pPr>
        <w:jc w:val="both"/>
        <w:rPr>
          <w:rFonts w:ascii="Century Gothic" w:hAnsi="Century Gothic"/>
          <w:b/>
          <w:sz w:val="20"/>
          <w:lang w:val="nl-BE"/>
        </w:rPr>
      </w:pPr>
      <w:r w:rsidRPr="004D38FA">
        <w:rPr>
          <w:rFonts w:ascii="Century Gothic" w:hAnsi="Century Gothic"/>
          <w:b/>
          <w:sz w:val="20"/>
          <w:lang w:val="nl-BE"/>
        </w:rPr>
        <w:t xml:space="preserve">Voortaan mag een verdachte van strafrechtelijke zaken zich in het kader van de wet op de voorlopige hechtenis laten vertegenwoordigen door zijn advocaat wanneer hij voor de Raadkamer of de Kamer van Inbeschuldigingstelling moet verschijnen. Tot nu toe kon dit enkel in burgerrechtelijke zaken, waardoor de verdachte elke keer moest worden overgebracht vanuit de gevangenis. </w:t>
      </w:r>
    </w:p>
    <w:p w:rsidR="006702E9" w:rsidRPr="004D38FA" w:rsidRDefault="006702E9" w:rsidP="006702E9">
      <w:pPr>
        <w:jc w:val="both"/>
        <w:rPr>
          <w:rFonts w:ascii="Century Gothic" w:hAnsi="Century Gothic"/>
          <w:sz w:val="20"/>
          <w:lang w:val="nl-BE"/>
        </w:rPr>
      </w:pPr>
      <w:r w:rsidRPr="004D38FA">
        <w:rPr>
          <w:rFonts w:ascii="Century Gothic" w:hAnsi="Century Gothic"/>
          <w:sz w:val="20"/>
          <w:lang w:val="nl-BE"/>
        </w:rPr>
        <w:t xml:space="preserve">Indien de onderzoeksrechter het toch nodig vindt dat de verdachte persoonlijk verschijnt voor de raadkamer of de KI, dan kan hij dit bevelen tenminste drie dagen voor de geplande verschijning. De verdachte kan deze beslissing niet aanvechten en dit wordt betekend op verzoek van het openbaar ministerie. </w:t>
      </w:r>
    </w:p>
    <w:p w:rsidR="004D38FA" w:rsidRPr="006702E9" w:rsidRDefault="004D38FA" w:rsidP="006702E9">
      <w:pPr>
        <w:pStyle w:val="ListParagraph"/>
        <w:numPr>
          <w:ilvl w:val="0"/>
          <w:numId w:val="3"/>
        </w:numPr>
        <w:rPr>
          <w:b/>
          <w:sz w:val="22"/>
          <w:u w:val="single"/>
          <w:lang w:val="nl-BE"/>
        </w:rPr>
      </w:pPr>
      <w:r w:rsidRPr="006702E9">
        <w:rPr>
          <w:b/>
          <w:sz w:val="22"/>
          <w:u w:val="single"/>
          <w:lang w:val="nl-BE"/>
        </w:rPr>
        <w:t>Parket en politiediensten kunnen voortaan langer dan 24u afluisteren wanneer heterdaadsituatie plaatsvindt</w:t>
      </w:r>
    </w:p>
    <w:p w:rsidR="004D38FA" w:rsidRPr="00444DAC" w:rsidRDefault="004D38FA" w:rsidP="004D38FA">
      <w:pPr>
        <w:rPr>
          <w:rFonts w:ascii="Century Gothic" w:hAnsi="Century Gothic"/>
          <w:sz w:val="20"/>
          <w:lang w:val="nl-BE"/>
        </w:rPr>
      </w:pPr>
      <w:r w:rsidRPr="00444DAC">
        <w:rPr>
          <w:rFonts w:ascii="Century Gothic" w:hAnsi="Century Gothic"/>
          <w:sz w:val="20"/>
          <w:lang w:val="nl-BE"/>
        </w:rPr>
        <w:t xml:space="preserve">In geval van ontdekking op heterdaad kan de procureur des Konings vanaf nu een afluistermaatregel bevelen voor strafbare feiten van afpersing en gijzeling zolang de heterdaadsituatie geldt.  In het verleden was de termijn beperkt tot 24 uur </w:t>
      </w:r>
      <w:r w:rsidR="006702E9">
        <w:rPr>
          <w:rFonts w:ascii="Century Gothic" w:hAnsi="Century Gothic"/>
          <w:sz w:val="20"/>
          <w:lang w:val="nl-BE"/>
        </w:rPr>
        <w:t>waardoor</w:t>
      </w:r>
      <w:r w:rsidRPr="00444DAC">
        <w:rPr>
          <w:rFonts w:ascii="Century Gothic" w:hAnsi="Century Gothic"/>
          <w:sz w:val="20"/>
          <w:lang w:val="nl-BE"/>
        </w:rPr>
        <w:t xml:space="preserve"> voor een verlenging van de termijn, de goedkeuring van de onderzoeksrechter nodig</w:t>
      </w:r>
      <w:r w:rsidR="006702E9">
        <w:rPr>
          <w:rFonts w:ascii="Century Gothic" w:hAnsi="Century Gothic"/>
          <w:sz w:val="20"/>
          <w:lang w:val="nl-BE"/>
        </w:rPr>
        <w:t xml:space="preserve"> was</w:t>
      </w:r>
      <w:r w:rsidRPr="00444DAC">
        <w:rPr>
          <w:rFonts w:ascii="Century Gothic" w:hAnsi="Century Gothic"/>
          <w:sz w:val="20"/>
          <w:lang w:val="nl-BE"/>
        </w:rPr>
        <w:t xml:space="preserve">. 24 uur was vaak te kort om een gecontroleerde operatie uit te voeren.  Door de wetswijziging blijft er een eenheid van commando gedurende de volledige termijn en kunnen het parket en de politiediensten op een gecoördineerde manier, zonder tussenkomst van de onderzoeksrechter, controle krijgen over de situatie. </w:t>
      </w:r>
    </w:p>
    <w:p w:rsidR="004D38FA" w:rsidRPr="006702E9" w:rsidRDefault="004D38FA" w:rsidP="006702E9">
      <w:pPr>
        <w:pStyle w:val="ListParagraph"/>
        <w:numPr>
          <w:ilvl w:val="0"/>
          <w:numId w:val="3"/>
        </w:numPr>
        <w:rPr>
          <w:b/>
          <w:sz w:val="22"/>
          <w:szCs w:val="20"/>
          <w:u w:val="single"/>
          <w:lang w:val="nl-BE"/>
        </w:rPr>
      </w:pPr>
      <w:r w:rsidRPr="006702E9">
        <w:rPr>
          <w:b/>
          <w:sz w:val="22"/>
          <w:szCs w:val="20"/>
          <w:u w:val="single"/>
          <w:lang w:val="nl-BE"/>
        </w:rPr>
        <w:t>Strengere straffen voor geweldpleging tegen penitentiaire beambten</w:t>
      </w:r>
    </w:p>
    <w:p w:rsidR="004D38FA" w:rsidRPr="006702E9" w:rsidRDefault="004D38FA" w:rsidP="004D38FA">
      <w:pPr>
        <w:rPr>
          <w:rFonts w:ascii="Century Gothic" w:hAnsi="Century Gothic"/>
          <w:b/>
          <w:sz w:val="20"/>
          <w:szCs w:val="20"/>
          <w:lang w:val="nl-BE"/>
        </w:rPr>
      </w:pPr>
      <w:r w:rsidRPr="006702E9">
        <w:rPr>
          <w:rFonts w:ascii="Century Gothic" w:hAnsi="Century Gothic"/>
          <w:b/>
          <w:sz w:val="20"/>
          <w:szCs w:val="20"/>
          <w:lang w:val="nl-BE"/>
        </w:rPr>
        <w:t xml:space="preserve">Agressie en geweldplegingen tegen personen die een openbare functie hebben zoals MIVB-agenten en gevangenispersoneel zal strenger bestraft worden. In de wet diverse bepalingen wordt opgenomen dat de maximumstraffen kunnen verdubbeld worden met een maximumtermijn van 5 jaar. </w:t>
      </w:r>
    </w:p>
    <w:p w:rsidR="004D38FA" w:rsidRPr="004D38FA" w:rsidRDefault="004D38FA" w:rsidP="006702E9">
      <w:pPr>
        <w:jc w:val="both"/>
        <w:rPr>
          <w:rFonts w:ascii="Century Gothic" w:hAnsi="Century Gothic"/>
          <w:sz w:val="20"/>
          <w:szCs w:val="20"/>
          <w:lang w:val="nl-BE"/>
        </w:rPr>
      </w:pPr>
      <w:r w:rsidRPr="004D38FA">
        <w:rPr>
          <w:rFonts w:ascii="Century Gothic" w:hAnsi="Century Gothic"/>
          <w:sz w:val="20"/>
          <w:szCs w:val="20"/>
          <w:lang w:val="nl-BE"/>
        </w:rPr>
        <w:t xml:space="preserve"> De regering heeft dit beslist naar aanleiding van het drama met het MIVB-personeelslid en de recente gebeurtenissen in de gevangenissen, waar het gevangenispersoneel het slachtoffer was. De nodige wetswijzigingen in het strafwetboek zijn goedgekeurd. De regering hoopt met deze maatregel de agressie op het openbaar vervoer en in de gevangenissen te verminderen.</w:t>
      </w:r>
    </w:p>
    <w:p w:rsidR="002E2C09" w:rsidRPr="004D38FA" w:rsidRDefault="002E2C09">
      <w:pPr>
        <w:rPr>
          <w:rFonts w:ascii="Century Gothic" w:hAnsi="Century Gothic"/>
          <w:sz w:val="20"/>
          <w:szCs w:val="20"/>
          <w:lang w:val="nl-BE"/>
        </w:rPr>
      </w:pPr>
    </w:p>
    <w:sectPr w:rsidR="002E2C09" w:rsidRPr="004D3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26A34"/>
    <w:multiLevelType w:val="hybridMultilevel"/>
    <w:tmpl w:val="4396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44639A"/>
    <w:multiLevelType w:val="hybridMultilevel"/>
    <w:tmpl w:val="CC8EF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48168A"/>
    <w:multiLevelType w:val="hybridMultilevel"/>
    <w:tmpl w:val="5D3C4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E016AA"/>
    <w:multiLevelType w:val="hybridMultilevel"/>
    <w:tmpl w:val="53A08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FA"/>
    <w:rsid w:val="002E2C09"/>
    <w:rsid w:val="00457569"/>
    <w:rsid w:val="004D38FA"/>
    <w:rsid w:val="005249E9"/>
    <w:rsid w:val="006702E9"/>
    <w:rsid w:val="00770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FA"/>
    <w:pPr>
      <w:ind w:left="720"/>
      <w:contextualSpacing/>
    </w:pPr>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FA"/>
    <w:pPr>
      <w:ind w:left="720"/>
      <w:contextualSpacing/>
    </w:pPr>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3831</Characters>
  <Application>Microsoft Office Word</Application>
  <DocSecurity>4</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Donckier de Donceel Margaux</dc:creator>
  <cp:lastModifiedBy>Delafortrie Sarah</cp:lastModifiedBy>
  <cp:revision>2</cp:revision>
  <dcterms:created xsi:type="dcterms:W3CDTF">2012-06-28T09:51:00Z</dcterms:created>
  <dcterms:modified xsi:type="dcterms:W3CDTF">2012-06-28T09:51:00Z</dcterms:modified>
</cp:coreProperties>
</file>