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2" w:type="dxa"/>
        <w:tblCellMar>
          <w:left w:w="70" w:type="dxa"/>
          <w:right w:w="70" w:type="dxa"/>
        </w:tblCellMar>
        <w:tblLook w:val="0000" w:firstRow="0" w:lastRow="0" w:firstColumn="0" w:lastColumn="0" w:noHBand="0" w:noVBand="0"/>
      </w:tblPr>
      <w:tblGrid>
        <w:gridCol w:w="70"/>
        <w:gridCol w:w="1263"/>
        <w:gridCol w:w="3799"/>
        <w:gridCol w:w="4478"/>
        <w:gridCol w:w="900"/>
        <w:gridCol w:w="36"/>
        <w:gridCol w:w="26"/>
      </w:tblGrid>
      <w:tr w:rsidR="00C67E81" w:rsidTr="00AD3A24">
        <w:trPr>
          <w:gridAfter w:val="1"/>
          <w:wAfter w:w="26" w:type="dxa"/>
          <w:cantSplit/>
          <w:trHeight w:val="181"/>
        </w:trPr>
        <w:tc>
          <w:tcPr>
            <w:tcW w:w="1333" w:type="dxa"/>
            <w:gridSpan w:val="2"/>
            <w:vMerge w:val="restart"/>
            <w:tcBorders>
              <w:right w:val="single" w:sz="24" w:space="0" w:color="808080"/>
            </w:tcBorders>
          </w:tcPr>
          <w:p w:rsidR="00C67E81" w:rsidRDefault="00BA2A95">
            <w:pPr>
              <w:rPr>
                <w:rFonts w:ascii="Arial" w:hAnsi="Arial" w:cs="Arial"/>
                <w:lang w:val="nl-NL"/>
              </w:rPr>
            </w:pPr>
            <w:bookmarkStart w:id="0" w:name="_GoBack"/>
            <w:bookmarkEnd w:id="0"/>
            <w:r>
              <w:rPr>
                <w:noProof/>
                <w:lang w:val="en-US" w:eastAsia="en-US"/>
              </w:rPr>
              <w:drawing>
                <wp:inline distT="0" distB="0" distL="0" distR="0" wp14:anchorId="486F5461" wp14:editId="7204F084">
                  <wp:extent cx="742950" cy="800100"/>
                  <wp:effectExtent l="0" t="0" r="0" b="0"/>
                  <wp:docPr id="1" name="Afbeelding 1" desc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p>
        </w:tc>
        <w:tc>
          <w:tcPr>
            <w:tcW w:w="3799" w:type="dxa"/>
            <w:vMerge w:val="restart"/>
            <w:tcBorders>
              <w:left w:val="single" w:sz="24" w:space="0" w:color="808080"/>
            </w:tcBorders>
          </w:tcPr>
          <w:p w:rsidR="00C67E81" w:rsidRDefault="00C67E81">
            <w:pPr>
              <w:rPr>
                <w:rFonts w:ascii="Arial" w:hAnsi="Arial" w:cs="Arial"/>
                <w:b/>
                <w:sz w:val="22"/>
                <w:lang w:val="nl-NL"/>
              </w:rPr>
            </w:pPr>
          </w:p>
          <w:p w:rsidR="00C67E81" w:rsidRDefault="00C67E81">
            <w:pPr>
              <w:ind w:left="110"/>
              <w:rPr>
                <w:rFonts w:ascii="Arial" w:hAnsi="Arial" w:cs="Arial"/>
                <w:b/>
                <w:sz w:val="22"/>
                <w:lang w:val="nl-NL"/>
              </w:rPr>
            </w:pPr>
            <w:r>
              <w:rPr>
                <w:rFonts w:ascii="Arial" w:hAnsi="Arial" w:cs="Arial"/>
                <w:b/>
                <w:sz w:val="22"/>
                <w:lang w:val="nl-NL"/>
              </w:rPr>
              <w:t>Federale</w:t>
            </w:r>
          </w:p>
          <w:p w:rsidR="00C67E81" w:rsidRDefault="00C67E81">
            <w:pPr>
              <w:ind w:left="110"/>
              <w:rPr>
                <w:rFonts w:ascii="Arial" w:hAnsi="Arial" w:cs="Arial"/>
                <w:b/>
                <w:sz w:val="22"/>
                <w:lang w:val="nl-NL"/>
              </w:rPr>
            </w:pPr>
            <w:r>
              <w:rPr>
                <w:rFonts w:ascii="Arial" w:hAnsi="Arial" w:cs="Arial"/>
                <w:b/>
                <w:sz w:val="22"/>
                <w:lang w:val="nl-NL"/>
              </w:rPr>
              <w:t>Overheidsdienst</w:t>
            </w:r>
          </w:p>
          <w:p w:rsidR="00C67E81" w:rsidRDefault="00C67E81">
            <w:pPr>
              <w:pStyle w:val="Heading1"/>
              <w:ind w:left="110"/>
              <w:rPr>
                <w:rFonts w:ascii="Arial" w:hAnsi="Arial" w:cs="Arial"/>
              </w:rPr>
            </w:pPr>
            <w:r>
              <w:rPr>
                <w:rFonts w:ascii="Arial" w:hAnsi="Arial" w:cs="Arial"/>
                <w:sz w:val="22"/>
              </w:rPr>
              <w:t>FINANCIEN</w:t>
            </w:r>
          </w:p>
        </w:tc>
        <w:tc>
          <w:tcPr>
            <w:tcW w:w="5414" w:type="dxa"/>
            <w:gridSpan w:val="3"/>
          </w:tcPr>
          <w:p w:rsidR="00C67E81" w:rsidRDefault="00C67E81">
            <w:pPr>
              <w:jc w:val="right"/>
              <w:rPr>
                <w:rFonts w:ascii="Arial" w:hAnsi="Arial" w:cs="Arial"/>
                <w:sz w:val="22"/>
                <w:lang w:val="nl-NL"/>
              </w:rPr>
            </w:pPr>
          </w:p>
        </w:tc>
      </w:tr>
      <w:tr w:rsidR="00C67E81" w:rsidTr="00AD3A24">
        <w:trPr>
          <w:gridAfter w:val="1"/>
          <w:wAfter w:w="26" w:type="dxa"/>
          <w:cantSplit/>
          <w:trHeight w:val="577"/>
        </w:trPr>
        <w:tc>
          <w:tcPr>
            <w:tcW w:w="1333" w:type="dxa"/>
            <w:gridSpan w:val="2"/>
            <w:vMerge/>
            <w:tcBorders>
              <w:top w:val="single" w:sz="24" w:space="0" w:color="C0C0C0"/>
              <w:right w:val="single" w:sz="24" w:space="0" w:color="808080"/>
            </w:tcBorders>
          </w:tcPr>
          <w:p w:rsidR="00C67E81" w:rsidRDefault="00C67E81">
            <w:pPr>
              <w:rPr>
                <w:rFonts w:ascii="Arial" w:hAnsi="Arial" w:cs="Arial"/>
                <w:lang w:val="nl-NL"/>
              </w:rPr>
            </w:pPr>
          </w:p>
        </w:tc>
        <w:tc>
          <w:tcPr>
            <w:tcW w:w="3799" w:type="dxa"/>
            <w:vMerge/>
            <w:tcBorders>
              <w:top w:val="single" w:sz="24" w:space="0" w:color="C0C0C0"/>
              <w:left w:val="single" w:sz="24" w:space="0" w:color="808080"/>
            </w:tcBorders>
          </w:tcPr>
          <w:p w:rsidR="00C67E81" w:rsidRDefault="00C67E81">
            <w:pPr>
              <w:rPr>
                <w:rFonts w:ascii="Arial" w:hAnsi="Arial" w:cs="Arial"/>
                <w:lang w:val="nl-NL"/>
              </w:rPr>
            </w:pPr>
          </w:p>
        </w:tc>
        <w:tc>
          <w:tcPr>
            <w:tcW w:w="5414" w:type="dxa"/>
            <w:gridSpan w:val="3"/>
          </w:tcPr>
          <w:tbl>
            <w:tblPr>
              <w:tblW w:w="0" w:type="auto"/>
              <w:tblInd w:w="1" w:type="dxa"/>
              <w:tblCellMar>
                <w:left w:w="70" w:type="dxa"/>
                <w:right w:w="70" w:type="dxa"/>
              </w:tblCellMar>
              <w:tblLook w:val="0000" w:firstRow="0" w:lastRow="0" w:firstColumn="0" w:lastColumn="0" w:noHBand="0" w:noVBand="0"/>
            </w:tblPr>
            <w:tblGrid>
              <w:gridCol w:w="5263"/>
            </w:tblGrid>
            <w:tr w:rsidR="00C67E81" w:rsidTr="0069567E">
              <w:trPr>
                <w:cantSplit/>
                <w:trHeight w:val="247"/>
              </w:trPr>
              <w:tc>
                <w:tcPr>
                  <w:tcW w:w="5263" w:type="dxa"/>
                </w:tcPr>
                <w:p w:rsidR="00C67E81" w:rsidRDefault="00C67E81" w:rsidP="00037281">
                  <w:pPr>
                    <w:tabs>
                      <w:tab w:val="center" w:pos="605"/>
                      <w:tab w:val="right" w:pos="1210"/>
                      <w:tab w:val="right" w:pos="5256"/>
                    </w:tabs>
                    <w:jc w:val="right"/>
                    <w:rPr>
                      <w:rFonts w:ascii="Arial" w:hAnsi="Arial" w:cs="Arial"/>
                      <w:sz w:val="22"/>
                      <w:lang w:val="nl-NL"/>
                    </w:rPr>
                  </w:pPr>
                  <w:r>
                    <w:rPr>
                      <w:rFonts w:ascii="Arial" w:hAnsi="Arial" w:cs="Arial"/>
                      <w:sz w:val="22"/>
                      <w:lang w:val="nl-NL"/>
                    </w:rPr>
                    <w:t>Brussel,</w:t>
                  </w:r>
                  <w:bookmarkStart w:id="1" w:name="Tekstvak31"/>
                  <w:r w:rsidR="00A779D8">
                    <w:rPr>
                      <w:rFonts w:ascii="Arial" w:hAnsi="Arial" w:cs="Arial"/>
                      <w:sz w:val="22"/>
                      <w:lang w:val="nl-NL"/>
                    </w:rPr>
                    <w:t xml:space="preserve"> </w:t>
                  </w:r>
                  <w:r w:rsidR="00910AF3">
                    <w:rPr>
                      <w:rFonts w:ascii="Arial" w:hAnsi="Arial" w:cs="Arial"/>
                      <w:sz w:val="22"/>
                      <w:lang w:val="nl-NL"/>
                    </w:rPr>
                    <w:t>20/07/12</w:t>
                  </w:r>
                  <w:r w:rsidR="00037281">
                    <w:rPr>
                      <w:rFonts w:ascii="Arial" w:hAnsi="Arial" w:cs="Arial"/>
                      <w:sz w:val="22"/>
                      <w:lang w:val="nl-NL"/>
                    </w:rPr>
                    <w:fldChar w:fldCharType="begin">
                      <w:ffData>
                        <w:name w:val="Tekstvak31"/>
                        <w:enabled/>
                        <w:calcOnExit w:val="0"/>
                        <w:textInput>
                          <w:type w:val="date"/>
                        </w:textInput>
                      </w:ffData>
                    </w:fldChar>
                  </w:r>
                  <w:r w:rsidR="00037281">
                    <w:rPr>
                      <w:rFonts w:ascii="Arial" w:hAnsi="Arial" w:cs="Arial"/>
                      <w:sz w:val="22"/>
                      <w:lang w:val="nl-NL"/>
                    </w:rPr>
                    <w:instrText xml:space="preserve"> FORMTEXT </w:instrText>
                  </w:r>
                  <w:r w:rsidR="00037281">
                    <w:rPr>
                      <w:rFonts w:ascii="Arial" w:hAnsi="Arial" w:cs="Arial"/>
                      <w:sz w:val="22"/>
                      <w:lang w:val="nl-NL"/>
                    </w:rPr>
                  </w:r>
                  <w:r w:rsidR="00037281">
                    <w:rPr>
                      <w:rFonts w:ascii="Arial" w:hAnsi="Arial" w:cs="Arial"/>
                      <w:sz w:val="22"/>
                      <w:lang w:val="nl-NL"/>
                    </w:rPr>
                    <w:fldChar w:fldCharType="separate"/>
                  </w:r>
                  <w:r w:rsidR="00037281">
                    <w:rPr>
                      <w:rFonts w:ascii="Arial" w:hAnsi="Arial" w:cs="Arial"/>
                      <w:noProof/>
                      <w:sz w:val="22"/>
                      <w:lang w:val="nl-NL"/>
                    </w:rPr>
                    <w:t> </w:t>
                  </w:r>
                  <w:r w:rsidR="00037281">
                    <w:rPr>
                      <w:rFonts w:ascii="Arial" w:hAnsi="Arial" w:cs="Arial"/>
                      <w:noProof/>
                      <w:sz w:val="22"/>
                      <w:lang w:val="nl-NL"/>
                    </w:rPr>
                    <w:t> </w:t>
                  </w:r>
                  <w:r w:rsidR="00037281">
                    <w:rPr>
                      <w:rFonts w:ascii="Arial" w:hAnsi="Arial" w:cs="Arial"/>
                      <w:noProof/>
                      <w:sz w:val="22"/>
                      <w:lang w:val="nl-NL"/>
                    </w:rPr>
                    <w:t> </w:t>
                  </w:r>
                  <w:r w:rsidR="00037281">
                    <w:rPr>
                      <w:rFonts w:ascii="Arial" w:hAnsi="Arial" w:cs="Arial"/>
                      <w:noProof/>
                      <w:sz w:val="22"/>
                      <w:lang w:val="nl-NL"/>
                    </w:rPr>
                    <w:t> </w:t>
                  </w:r>
                  <w:r w:rsidR="00037281">
                    <w:rPr>
                      <w:rFonts w:ascii="Arial" w:hAnsi="Arial" w:cs="Arial"/>
                      <w:noProof/>
                      <w:sz w:val="22"/>
                      <w:lang w:val="nl-NL"/>
                    </w:rPr>
                    <w:t> </w:t>
                  </w:r>
                  <w:r w:rsidR="00037281">
                    <w:rPr>
                      <w:rFonts w:ascii="Arial" w:hAnsi="Arial" w:cs="Arial"/>
                      <w:sz w:val="22"/>
                      <w:lang w:val="nl-NL"/>
                    </w:rPr>
                    <w:fldChar w:fldCharType="end"/>
                  </w:r>
                  <w:bookmarkEnd w:id="1"/>
                </w:p>
              </w:tc>
            </w:tr>
          </w:tbl>
          <w:p w:rsidR="00C67E81" w:rsidRDefault="00C67E81">
            <w:pPr>
              <w:tabs>
                <w:tab w:val="right" w:pos="5256"/>
              </w:tabs>
              <w:jc w:val="right"/>
              <w:rPr>
                <w:rFonts w:ascii="Arial" w:hAnsi="Arial" w:cs="Arial"/>
                <w:lang w:val="nl-NL"/>
              </w:rPr>
            </w:pPr>
          </w:p>
        </w:tc>
      </w:tr>
      <w:tr w:rsidR="00C67E81" w:rsidTr="00AD3A24">
        <w:trPr>
          <w:gridAfter w:val="1"/>
          <w:wAfter w:w="26" w:type="dxa"/>
          <w:cantSplit/>
          <w:trHeight w:val="72"/>
        </w:trPr>
        <w:tc>
          <w:tcPr>
            <w:tcW w:w="5132" w:type="dxa"/>
            <w:gridSpan w:val="3"/>
            <w:vAlign w:val="center"/>
          </w:tcPr>
          <w:p w:rsidR="00C67E81" w:rsidRDefault="00C67E81">
            <w:pPr>
              <w:rPr>
                <w:rFonts w:ascii="Arial" w:hAnsi="Arial" w:cs="Arial"/>
                <w:lang w:val="nl-NL"/>
              </w:rPr>
            </w:pPr>
          </w:p>
        </w:tc>
        <w:tc>
          <w:tcPr>
            <w:tcW w:w="5414" w:type="dxa"/>
            <w:gridSpan w:val="3"/>
            <w:vMerge w:val="restart"/>
            <w:vAlign w:val="bottom"/>
          </w:tcPr>
          <w:p w:rsidR="003337EE" w:rsidRPr="00DF2052" w:rsidRDefault="003337EE" w:rsidP="0024476F">
            <w:pPr>
              <w:rPr>
                <w:rFonts w:ascii="Arial" w:hAnsi="Arial" w:cs="Arial"/>
                <w:sz w:val="14"/>
                <w:u w:val="single"/>
                <w:lang w:val="nl-BE"/>
              </w:rPr>
            </w:pPr>
          </w:p>
        </w:tc>
      </w:tr>
      <w:tr w:rsidR="00C67E81" w:rsidTr="00AD3A24">
        <w:trPr>
          <w:gridAfter w:val="1"/>
          <w:wAfter w:w="26" w:type="dxa"/>
          <w:cantSplit/>
          <w:trHeight w:val="95"/>
        </w:trPr>
        <w:tc>
          <w:tcPr>
            <w:tcW w:w="5132" w:type="dxa"/>
            <w:gridSpan w:val="3"/>
            <w:vMerge w:val="restart"/>
          </w:tcPr>
          <w:p w:rsidR="00430003" w:rsidRDefault="00430003" w:rsidP="00D92ECC">
            <w:pPr>
              <w:rPr>
                <w:rFonts w:ascii="Arial" w:hAnsi="Arial" w:cs="Arial"/>
                <w:b/>
                <w:lang w:val="nl-BE"/>
              </w:rPr>
            </w:pPr>
          </w:p>
          <w:p w:rsidR="00301FC0" w:rsidRDefault="0037230B" w:rsidP="00D92ECC">
            <w:pPr>
              <w:rPr>
                <w:rFonts w:ascii="Arial" w:hAnsi="Arial" w:cs="Arial"/>
                <w:b/>
                <w:lang w:val="nl-BE"/>
              </w:rPr>
            </w:pPr>
            <w:r>
              <w:rPr>
                <w:rFonts w:ascii="Arial" w:hAnsi="Arial" w:cs="Arial"/>
                <w:b/>
                <w:lang w:val="nl-BE"/>
              </w:rPr>
              <w:t>De</w:t>
            </w:r>
            <w:r w:rsidR="0024476F">
              <w:rPr>
                <w:rFonts w:ascii="Arial" w:hAnsi="Arial" w:cs="Arial"/>
                <w:b/>
                <w:lang w:val="nl-BE"/>
              </w:rPr>
              <w:t xml:space="preserve"> </w:t>
            </w:r>
            <w:r w:rsidR="00D92ECC">
              <w:rPr>
                <w:rFonts w:ascii="Arial" w:hAnsi="Arial" w:cs="Arial"/>
                <w:b/>
                <w:lang w:val="nl-BE"/>
              </w:rPr>
              <w:t xml:space="preserve">Vice-Eerste </w:t>
            </w:r>
            <w:r w:rsidR="0024476F">
              <w:rPr>
                <w:rFonts w:ascii="Arial" w:hAnsi="Arial" w:cs="Arial"/>
                <w:b/>
                <w:lang w:val="nl-BE"/>
              </w:rPr>
              <w:t>Minister</w:t>
            </w:r>
            <w:r w:rsidR="00DD3C8A">
              <w:rPr>
                <w:rFonts w:ascii="Arial" w:hAnsi="Arial" w:cs="Arial"/>
                <w:b/>
                <w:lang w:val="nl-BE"/>
              </w:rPr>
              <w:t>,</w:t>
            </w:r>
            <w:r w:rsidR="00D92ECC">
              <w:rPr>
                <w:rFonts w:ascii="Arial" w:hAnsi="Arial" w:cs="Arial"/>
                <w:b/>
                <w:lang w:val="nl-BE"/>
              </w:rPr>
              <w:t xml:space="preserve"> </w:t>
            </w:r>
          </w:p>
          <w:p w:rsidR="00AD3A24" w:rsidRDefault="00D92ECC" w:rsidP="00D92ECC">
            <w:pPr>
              <w:rPr>
                <w:rFonts w:ascii="Arial" w:hAnsi="Arial" w:cs="Arial"/>
                <w:b/>
                <w:lang w:val="nl-BE"/>
              </w:rPr>
            </w:pPr>
            <w:r>
              <w:rPr>
                <w:rFonts w:ascii="Arial" w:hAnsi="Arial" w:cs="Arial"/>
                <w:b/>
                <w:lang w:val="nl-BE"/>
              </w:rPr>
              <w:t>Minister van Financiën</w:t>
            </w:r>
            <w:r w:rsidR="00DD3C8A">
              <w:rPr>
                <w:rFonts w:ascii="Arial" w:hAnsi="Arial" w:cs="Arial"/>
                <w:b/>
                <w:lang w:val="nl-BE"/>
              </w:rPr>
              <w:t xml:space="preserve"> en </w:t>
            </w:r>
          </w:p>
          <w:p w:rsidR="00D92ECC" w:rsidRPr="00301FC0" w:rsidRDefault="00DD3C8A" w:rsidP="00D92ECC">
            <w:pPr>
              <w:rPr>
                <w:rFonts w:ascii="Arial" w:hAnsi="Arial" w:cs="Arial"/>
                <w:b/>
                <w:lang w:val="nl-BE"/>
              </w:rPr>
            </w:pPr>
            <w:r>
              <w:rPr>
                <w:rFonts w:ascii="Arial" w:hAnsi="Arial" w:cs="Arial"/>
                <w:b/>
                <w:lang w:val="nl-BE"/>
              </w:rPr>
              <w:t>Duurzame Ontwikkeling</w:t>
            </w:r>
          </w:p>
          <w:p w:rsidR="00C67E81" w:rsidRDefault="00C67E81" w:rsidP="00D92ECC">
            <w:pPr>
              <w:rPr>
                <w:rFonts w:ascii="Arial" w:hAnsi="Arial" w:cs="Arial"/>
                <w:sz w:val="8"/>
                <w:lang w:val="nl-BE"/>
              </w:rPr>
            </w:pPr>
          </w:p>
        </w:tc>
        <w:tc>
          <w:tcPr>
            <w:tcW w:w="5414" w:type="dxa"/>
            <w:gridSpan w:val="3"/>
            <w:vMerge/>
          </w:tcPr>
          <w:p w:rsidR="00C67E81" w:rsidRDefault="00C67E81">
            <w:pPr>
              <w:rPr>
                <w:rFonts w:ascii="Arial" w:hAnsi="Arial" w:cs="Arial"/>
                <w:sz w:val="14"/>
                <w:lang w:val="nl-BE"/>
              </w:rPr>
            </w:pPr>
          </w:p>
        </w:tc>
      </w:tr>
      <w:tr w:rsidR="00C67E81" w:rsidTr="00AD3A24">
        <w:trPr>
          <w:gridAfter w:val="1"/>
          <w:wAfter w:w="26" w:type="dxa"/>
          <w:cantSplit/>
          <w:trHeight w:val="236"/>
        </w:trPr>
        <w:tc>
          <w:tcPr>
            <w:tcW w:w="5132" w:type="dxa"/>
            <w:gridSpan w:val="3"/>
            <w:vMerge/>
          </w:tcPr>
          <w:p w:rsidR="00C67E81" w:rsidRDefault="00C67E81">
            <w:pPr>
              <w:rPr>
                <w:rFonts w:ascii="Arial" w:hAnsi="Arial" w:cs="Arial"/>
                <w:b/>
                <w:sz w:val="20"/>
                <w:lang w:val="nl-BE"/>
              </w:rPr>
            </w:pPr>
          </w:p>
        </w:tc>
        <w:tc>
          <w:tcPr>
            <w:tcW w:w="5414" w:type="dxa"/>
            <w:gridSpan w:val="3"/>
            <w:vMerge/>
          </w:tcPr>
          <w:p w:rsidR="00C67E81" w:rsidRDefault="00C67E81">
            <w:pPr>
              <w:rPr>
                <w:rFonts w:ascii="Arial" w:hAnsi="Arial" w:cs="Arial"/>
                <w:sz w:val="14"/>
                <w:lang w:val="nl-BE"/>
              </w:rPr>
            </w:pPr>
          </w:p>
        </w:tc>
      </w:tr>
      <w:tr w:rsidR="00C67E81" w:rsidTr="00AD3A24">
        <w:trPr>
          <w:gridAfter w:val="1"/>
          <w:wAfter w:w="26" w:type="dxa"/>
          <w:cantSplit/>
          <w:trHeight w:val="969"/>
        </w:trPr>
        <w:tc>
          <w:tcPr>
            <w:tcW w:w="5132" w:type="dxa"/>
            <w:gridSpan w:val="3"/>
            <w:vMerge/>
          </w:tcPr>
          <w:p w:rsidR="00C67E81" w:rsidRDefault="00C67E81">
            <w:pPr>
              <w:rPr>
                <w:rFonts w:ascii="Arial" w:hAnsi="Arial" w:cs="Arial"/>
                <w:lang w:val="nl-BE"/>
              </w:rPr>
            </w:pPr>
          </w:p>
        </w:tc>
        <w:tc>
          <w:tcPr>
            <w:tcW w:w="5414" w:type="dxa"/>
            <w:gridSpan w:val="3"/>
          </w:tcPr>
          <w:p w:rsidR="00137804" w:rsidRPr="00037281" w:rsidRDefault="00137804">
            <w:pPr>
              <w:rPr>
                <w:rFonts w:asciiTheme="minorHAnsi" w:hAnsiTheme="minorHAnsi" w:cstheme="minorHAnsi"/>
                <w:sz w:val="56"/>
                <w:szCs w:val="56"/>
                <w:u w:val="single"/>
                <w:lang w:val="nl-BE"/>
              </w:rPr>
            </w:pPr>
            <w:r w:rsidRPr="00037281">
              <w:rPr>
                <w:rFonts w:asciiTheme="minorHAnsi" w:hAnsiTheme="minorHAnsi" w:cstheme="minorHAnsi"/>
                <w:sz w:val="56"/>
                <w:szCs w:val="56"/>
                <w:u w:val="single"/>
                <w:lang w:val="nl-BE"/>
              </w:rPr>
              <w:t>Persbericht</w:t>
            </w:r>
          </w:p>
        </w:tc>
      </w:tr>
      <w:tr w:rsidR="00137804" w:rsidRPr="00910AF3" w:rsidTr="00AD3A24">
        <w:trPr>
          <w:gridAfter w:val="1"/>
          <w:wAfter w:w="26" w:type="dxa"/>
          <w:cantSplit/>
          <w:trHeight w:val="979"/>
        </w:trPr>
        <w:tc>
          <w:tcPr>
            <w:tcW w:w="10546" w:type="dxa"/>
            <w:gridSpan w:val="6"/>
            <w:vAlign w:val="center"/>
          </w:tcPr>
          <w:p w:rsidR="00910AF3" w:rsidRDefault="00910AF3" w:rsidP="00037281">
            <w:pPr>
              <w:jc w:val="center"/>
              <w:rPr>
                <w:rFonts w:asciiTheme="minorHAnsi" w:hAnsiTheme="minorHAnsi" w:cstheme="minorHAnsi"/>
                <w:b/>
                <w:sz w:val="36"/>
                <w:szCs w:val="36"/>
                <w:lang w:val="nl-BE"/>
              </w:rPr>
            </w:pPr>
            <w:r>
              <w:rPr>
                <w:rFonts w:asciiTheme="minorHAnsi" w:hAnsiTheme="minorHAnsi" w:cstheme="minorHAnsi"/>
                <w:b/>
                <w:sz w:val="36"/>
                <w:szCs w:val="36"/>
                <w:lang w:val="nl-BE"/>
              </w:rPr>
              <w:t xml:space="preserve">PROGRAMMA  </w:t>
            </w:r>
            <w:r w:rsidRPr="00910AF3">
              <w:rPr>
                <w:rFonts w:asciiTheme="minorHAnsi" w:hAnsiTheme="minorHAnsi" w:cstheme="minorHAnsi"/>
                <w:b/>
                <w:i/>
                <w:sz w:val="36"/>
                <w:szCs w:val="36"/>
                <w:lang w:val="nl-BE"/>
              </w:rPr>
              <w:t>MVOverheid!</w:t>
            </w:r>
          </w:p>
          <w:p w:rsidR="00137804" w:rsidRPr="00037281" w:rsidRDefault="00910AF3" w:rsidP="00037281">
            <w:pPr>
              <w:jc w:val="center"/>
              <w:rPr>
                <w:rFonts w:asciiTheme="minorHAnsi" w:hAnsiTheme="minorHAnsi" w:cstheme="minorHAnsi"/>
                <w:b/>
                <w:sz w:val="36"/>
                <w:szCs w:val="36"/>
                <w:lang w:val="nl-BE"/>
              </w:rPr>
            </w:pPr>
            <w:r>
              <w:rPr>
                <w:rFonts w:asciiTheme="minorHAnsi" w:hAnsiTheme="minorHAnsi" w:cstheme="minorHAnsi"/>
                <w:b/>
                <w:sz w:val="36"/>
                <w:szCs w:val="36"/>
                <w:lang w:val="nl-BE"/>
              </w:rPr>
              <w:t>De Federale overheid als motor van een duurzame transitie</w:t>
            </w:r>
          </w:p>
        </w:tc>
      </w:tr>
      <w:tr w:rsidR="00AD3A24" w:rsidRPr="00910AF3" w:rsidTr="00B327BE">
        <w:trPr>
          <w:gridAfter w:val="1"/>
          <w:wAfter w:w="26" w:type="dxa"/>
          <w:trHeight w:val="979"/>
        </w:trPr>
        <w:tc>
          <w:tcPr>
            <w:tcW w:w="10546" w:type="dxa"/>
            <w:gridSpan w:val="6"/>
            <w:vAlign w:val="center"/>
          </w:tcPr>
          <w:p w:rsidR="00AD3A24" w:rsidRDefault="00AD3A24" w:rsidP="00AD3A24">
            <w:pPr>
              <w:tabs>
                <w:tab w:val="left" w:pos="2268"/>
                <w:tab w:val="left" w:pos="4534"/>
                <w:tab w:val="left" w:pos="7370"/>
              </w:tabs>
              <w:spacing w:line="260" w:lineRule="exact"/>
              <w:ind w:left="720"/>
              <w:jc w:val="both"/>
              <w:rPr>
                <w:rFonts w:ascii="Calibri" w:hAnsi="Calibri" w:cs="Calibri"/>
                <w:sz w:val="22"/>
                <w:lang w:val="nl-BE"/>
              </w:rPr>
            </w:pPr>
          </w:p>
          <w:p w:rsidR="00910AF3" w:rsidRPr="00910AF3" w:rsidRDefault="00910AF3" w:rsidP="00B308D2">
            <w:pPr>
              <w:autoSpaceDE w:val="0"/>
              <w:autoSpaceDN w:val="0"/>
              <w:spacing w:before="120" w:after="120" w:line="288" w:lineRule="auto"/>
              <w:rPr>
                <w:rFonts w:asciiTheme="minorHAnsi" w:hAnsiTheme="minorHAnsi" w:cstheme="minorHAnsi"/>
                <w:sz w:val="22"/>
                <w:szCs w:val="22"/>
                <w:lang w:val="nl-BE" w:eastAsia="en-US"/>
              </w:rPr>
            </w:pPr>
            <w:r w:rsidRPr="00910AF3">
              <w:rPr>
                <w:rFonts w:asciiTheme="minorHAnsi" w:hAnsiTheme="minorHAnsi" w:cstheme="minorHAnsi"/>
                <w:sz w:val="22"/>
                <w:szCs w:val="22"/>
                <w:lang w:val="nl-BE" w:eastAsia="en-US"/>
              </w:rPr>
              <w:t xml:space="preserve">De Ministerraad keurde vanochtend, op  voorstel van Minister van Duurzame Ontwikkeling Steven Vanackere het programma </w:t>
            </w:r>
            <w:r w:rsidRPr="00910AF3">
              <w:rPr>
                <w:rFonts w:asciiTheme="minorHAnsi" w:hAnsiTheme="minorHAnsi" w:cstheme="minorHAnsi"/>
                <w:i/>
                <w:szCs w:val="24"/>
                <w:lang w:val="nl-BE" w:eastAsia="en-US"/>
              </w:rPr>
              <w:t>MVOverheid!</w:t>
            </w:r>
            <w:r w:rsidRPr="00910AF3">
              <w:rPr>
                <w:rFonts w:asciiTheme="minorHAnsi" w:hAnsiTheme="minorHAnsi" w:cstheme="minorHAnsi"/>
                <w:sz w:val="22"/>
                <w:szCs w:val="22"/>
                <w:lang w:val="nl-BE" w:eastAsia="en-US"/>
              </w:rPr>
              <w:t xml:space="preserve"> goed.</w:t>
            </w:r>
            <w:r>
              <w:rPr>
                <w:rFonts w:asciiTheme="minorHAnsi" w:hAnsiTheme="minorHAnsi" w:cstheme="minorHAnsi"/>
                <w:sz w:val="22"/>
                <w:szCs w:val="22"/>
                <w:lang w:val="nl-BE" w:eastAsia="en-US"/>
              </w:rPr>
              <w:t xml:space="preserve">  </w:t>
            </w:r>
            <w:r w:rsidRPr="00910AF3">
              <w:rPr>
                <w:rFonts w:asciiTheme="minorHAnsi" w:hAnsiTheme="minorHAnsi" w:cstheme="minorHAnsi"/>
                <w:sz w:val="22"/>
                <w:szCs w:val="22"/>
                <w:lang w:val="nl-BE" w:eastAsia="en-US"/>
              </w:rPr>
              <w:t>“</w:t>
            </w:r>
            <w:r w:rsidRPr="00910AF3">
              <w:rPr>
                <w:rFonts w:asciiTheme="minorHAnsi" w:hAnsiTheme="minorHAnsi" w:cstheme="minorHAnsi"/>
                <w:i/>
                <w:sz w:val="22"/>
                <w:szCs w:val="22"/>
                <w:lang w:val="nl-BE" w:eastAsia="en-US"/>
              </w:rPr>
              <w:t>De overheid moet zelf het voorbeeld geven inzake duurzame ontwikkeling. We zijn dat aan onszelf verplicht</w:t>
            </w:r>
            <w:r w:rsidRPr="00910AF3">
              <w:rPr>
                <w:rFonts w:asciiTheme="minorHAnsi" w:hAnsiTheme="minorHAnsi" w:cstheme="minorHAnsi"/>
                <w:sz w:val="22"/>
                <w:szCs w:val="22"/>
                <w:lang w:val="nl-BE" w:eastAsia="en-US"/>
              </w:rPr>
              <w:t>” aldus Minister Vanackere.</w:t>
            </w:r>
          </w:p>
          <w:p w:rsidR="00910AF3" w:rsidRPr="00910AF3" w:rsidRDefault="00910AF3" w:rsidP="00B308D2">
            <w:pPr>
              <w:autoSpaceDE w:val="0"/>
              <w:autoSpaceDN w:val="0"/>
              <w:spacing w:before="120" w:after="120" w:line="288" w:lineRule="auto"/>
              <w:rPr>
                <w:rFonts w:asciiTheme="minorHAnsi" w:hAnsiTheme="minorHAnsi" w:cstheme="minorHAnsi"/>
                <w:sz w:val="22"/>
                <w:szCs w:val="22"/>
                <w:lang w:val="nl-BE" w:eastAsia="en-US"/>
              </w:rPr>
            </w:pPr>
            <w:r w:rsidRPr="00910AF3">
              <w:rPr>
                <w:rFonts w:asciiTheme="minorHAnsi" w:hAnsiTheme="minorHAnsi" w:cstheme="minorHAnsi"/>
                <w:sz w:val="22"/>
                <w:szCs w:val="22"/>
                <w:lang w:val="nl-BE" w:eastAsia="en-US"/>
              </w:rPr>
              <w:t xml:space="preserve">Met dit voorstel integreert de minister met zes projecten </w:t>
            </w:r>
            <w:r w:rsidR="00B308D2">
              <w:rPr>
                <w:rFonts w:asciiTheme="minorHAnsi" w:hAnsiTheme="minorHAnsi" w:cstheme="minorHAnsi"/>
                <w:sz w:val="22"/>
                <w:szCs w:val="22"/>
                <w:lang w:val="nl-BE" w:eastAsia="en-US"/>
              </w:rPr>
              <w:t xml:space="preserve">de </w:t>
            </w:r>
            <w:r w:rsidRPr="00910AF3">
              <w:rPr>
                <w:rFonts w:asciiTheme="minorHAnsi" w:hAnsiTheme="minorHAnsi" w:cstheme="minorHAnsi"/>
                <w:sz w:val="22"/>
                <w:szCs w:val="22"/>
                <w:lang w:val="nl-BE" w:eastAsia="en-US"/>
              </w:rPr>
              <w:t>duurzame ontwikkeling in het dagelijks functioneren van de federale overheid: (1) interne milieuzorg in de federale overheid, (2) het omkaderen van duurzame transportmodi in de overheid, (3) de toepassing van duurzaamheidscriteria bij de toekenning van overheidsopdrachten, (4) een duurzame voeding in de restaurants van de federale overheidsdiensten, (5) een duurzame organisatie van evenementen van de overheid, en (6) de integratie van duurzame ontwikkelingsdoelstellingen en indicatoren in de managementplannen en beheersovereenkomsten van de federale overheid.</w:t>
            </w:r>
          </w:p>
          <w:p w:rsidR="00910AF3" w:rsidRPr="00910AF3" w:rsidRDefault="00910AF3" w:rsidP="00B308D2">
            <w:pPr>
              <w:autoSpaceDE w:val="0"/>
              <w:autoSpaceDN w:val="0"/>
              <w:spacing w:before="120" w:after="120" w:line="288" w:lineRule="auto"/>
              <w:rPr>
                <w:rFonts w:asciiTheme="minorHAnsi" w:hAnsiTheme="minorHAnsi" w:cstheme="minorHAnsi"/>
                <w:sz w:val="22"/>
                <w:szCs w:val="22"/>
                <w:lang w:val="nl-BE" w:eastAsia="en-US"/>
              </w:rPr>
            </w:pPr>
            <w:r w:rsidRPr="00910AF3">
              <w:rPr>
                <w:rFonts w:asciiTheme="minorHAnsi" w:hAnsiTheme="minorHAnsi" w:cstheme="minorHAnsi"/>
                <w:sz w:val="22"/>
                <w:szCs w:val="22"/>
                <w:lang w:val="nl-BE" w:eastAsia="en-US"/>
              </w:rPr>
              <w:t>De Ministerraad gaf tevens het startschot voor het eerste project: interne milieuzorg binnen de federale overheid. Daarbij worden de oriëntaties voor het maximaliseren en rationaliseren van energiebesparende investeringen in de federale overheidsgebouwen vastgelegd.</w:t>
            </w:r>
          </w:p>
          <w:p w:rsidR="00910AF3" w:rsidRPr="00910AF3" w:rsidRDefault="00910AF3" w:rsidP="00B308D2">
            <w:pPr>
              <w:shd w:val="clear" w:color="auto" w:fill="FFFFFF" w:themeFill="background1"/>
              <w:spacing w:before="120" w:after="120" w:line="288" w:lineRule="auto"/>
              <w:rPr>
                <w:rFonts w:asciiTheme="minorHAnsi" w:hAnsiTheme="minorHAnsi" w:cstheme="minorHAnsi"/>
                <w:sz w:val="22"/>
                <w:szCs w:val="22"/>
                <w:lang w:val="nl-BE" w:eastAsia="en-US"/>
              </w:rPr>
            </w:pPr>
            <w:r w:rsidRPr="00910AF3">
              <w:rPr>
                <w:rFonts w:asciiTheme="minorHAnsi" w:hAnsiTheme="minorHAnsi" w:cstheme="minorHAnsi"/>
                <w:color w:val="000000"/>
                <w:sz w:val="22"/>
                <w:szCs w:val="22"/>
                <w:lang w:val="nl-NL" w:eastAsia="en-US"/>
              </w:rPr>
              <w:t xml:space="preserve">Tegen 2014 moet minstens de helft van de gebouwen, waar minstens 100 personen werken, van de federale overheidsdiensten uitgerust zijn met een intern milieuzorgsysteem. In het verleden hebben sommige overheidsdiensten </w:t>
            </w:r>
            <w:r w:rsidRPr="00910AF3">
              <w:rPr>
                <w:rFonts w:asciiTheme="minorHAnsi" w:hAnsiTheme="minorHAnsi" w:cstheme="minorHAnsi"/>
                <w:color w:val="000000"/>
                <w:sz w:val="22"/>
                <w:szCs w:val="22"/>
                <w:lang w:val="nl-BE" w:eastAsia="en-US"/>
              </w:rPr>
              <w:t>tot 40% winst gerealiseerd op het verbruik van energie en water dankzij de implementatie van zo een systeem.</w:t>
            </w:r>
            <w:r>
              <w:rPr>
                <w:rFonts w:asciiTheme="minorHAnsi" w:hAnsiTheme="minorHAnsi" w:cstheme="minorHAnsi"/>
                <w:color w:val="000000"/>
                <w:sz w:val="22"/>
                <w:szCs w:val="22"/>
                <w:lang w:val="nl-BE" w:eastAsia="en-US"/>
              </w:rPr>
              <w:t xml:space="preserve"> </w:t>
            </w:r>
            <w:r w:rsidRPr="00910AF3">
              <w:rPr>
                <w:rFonts w:asciiTheme="minorHAnsi" w:hAnsiTheme="minorHAnsi" w:cstheme="minorHAnsi"/>
                <w:sz w:val="22"/>
                <w:szCs w:val="22"/>
                <w:lang w:val="nl-BE" w:eastAsia="en-US"/>
              </w:rPr>
              <w:t>Op dit ogenblik beschikken 15 van de 78 overheidsorganisaties over een intern milieuzorgsysteem voor hun hoofgebouw. Met dit plan moet dit aantal naar omhoog.</w:t>
            </w:r>
          </w:p>
          <w:p w:rsidR="00910AF3" w:rsidRPr="00910AF3" w:rsidRDefault="00910AF3" w:rsidP="00B308D2">
            <w:pPr>
              <w:shd w:val="clear" w:color="auto" w:fill="FFFFFF" w:themeFill="background1"/>
              <w:spacing w:before="120" w:after="120" w:line="288" w:lineRule="auto"/>
              <w:rPr>
                <w:rFonts w:asciiTheme="minorHAnsi" w:hAnsiTheme="minorHAnsi" w:cstheme="minorHAnsi"/>
                <w:b/>
                <w:sz w:val="22"/>
                <w:szCs w:val="22"/>
                <w:lang w:val="nl-BE" w:eastAsia="en-US"/>
              </w:rPr>
            </w:pPr>
            <w:r w:rsidRPr="00910AF3">
              <w:rPr>
                <w:rFonts w:asciiTheme="minorHAnsi" w:hAnsiTheme="minorHAnsi" w:cstheme="minorHAnsi"/>
                <w:b/>
                <w:sz w:val="22"/>
                <w:szCs w:val="22"/>
                <w:lang w:val="nl-BE" w:eastAsia="en-US"/>
              </w:rPr>
              <w:t>Energiebesparende investeringen maximaliseren en rationaliseren</w:t>
            </w:r>
          </w:p>
          <w:p w:rsidR="00910AF3" w:rsidRPr="00910AF3" w:rsidRDefault="00910AF3" w:rsidP="00B308D2">
            <w:pPr>
              <w:shd w:val="clear" w:color="auto" w:fill="FFFFFF" w:themeFill="background1"/>
              <w:spacing w:before="120" w:after="120" w:line="288" w:lineRule="auto"/>
              <w:rPr>
                <w:rFonts w:asciiTheme="minorHAnsi" w:hAnsiTheme="minorHAnsi" w:cstheme="minorHAnsi"/>
                <w:sz w:val="22"/>
                <w:szCs w:val="22"/>
                <w:lang w:val="nl-BE" w:eastAsia="en-US"/>
              </w:rPr>
            </w:pPr>
            <w:r w:rsidRPr="00910AF3">
              <w:rPr>
                <w:rFonts w:asciiTheme="minorHAnsi" w:hAnsiTheme="minorHAnsi" w:cstheme="minorHAnsi"/>
                <w:sz w:val="22"/>
                <w:szCs w:val="22"/>
                <w:lang w:val="nl-BE" w:eastAsia="en-US"/>
              </w:rPr>
              <w:t>Ook vandaag, kwam de Minister van Duurzame Ontwikkeling, samen met de Staatssecretaris voor de Regie der Gebouwen, naar de Ministerraad met een voorstel voor het maximaliseren en rationaliseren van energiebesparende investeringen in de federale overheidsgebouwen. Op basis van de oriëntaties die werden goedgekeurd, gaan de belangrijkste spelers, de Regie der Gebouwen en de nv Fedesco, hun werkzaamheden optimaal op elkaar afstemmen waardoor nog enkel “slimme investeringen” zullen gebeuren. Hiermee boort de overheid ook een besparingspotentieel aan. Hoe minder energie ze verbruikt, hoe minder ze hier voor moet betalen.</w:t>
            </w:r>
          </w:p>
          <w:p w:rsidR="00AD3A24" w:rsidRPr="00AD3A24" w:rsidRDefault="00AD3A24" w:rsidP="00AD3A24">
            <w:pPr>
              <w:rPr>
                <w:rFonts w:asciiTheme="minorHAnsi" w:hAnsiTheme="minorHAnsi" w:cstheme="minorHAnsi"/>
                <w:sz w:val="22"/>
                <w:szCs w:val="22"/>
                <w:lang w:val="nl-BE"/>
              </w:rPr>
            </w:pPr>
          </w:p>
        </w:tc>
      </w:tr>
      <w:tr w:rsidR="00AD3A24" w:rsidRPr="00910AF3" w:rsidTr="00AD3A24">
        <w:trPr>
          <w:gridBefore w:val="1"/>
          <w:wBefore w:w="70" w:type="dxa"/>
          <w:cantSplit/>
          <w:trHeight w:val="354"/>
        </w:trPr>
        <w:tc>
          <w:tcPr>
            <w:tcW w:w="10502" w:type="dxa"/>
            <w:gridSpan w:val="6"/>
            <w:tcBorders>
              <w:top w:val="single" w:sz="4" w:space="0" w:color="auto"/>
            </w:tcBorders>
          </w:tcPr>
          <w:p w:rsidR="00AD3A24" w:rsidRDefault="00AD3A24" w:rsidP="00F303BF">
            <w:pPr>
              <w:jc w:val="center"/>
              <w:rPr>
                <w:rFonts w:ascii="Arial" w:hAnsi="Arial"/>
                <w:sz w:val="16"/>
                <w:lang w:val="nl-BE"/>
              </w:rPr>
            </w:pPr>
          </w:p>
        </w:tc>
      </w:tr>
      <w:tr w:rsidR="00AD3A24" w:rsidTr="00AD3A24">
        <w:trPr>
          <w:gridBefore w:val="1"/>
          <w:gridAfter w:val="2"/>
          <w:wBefore w:w="70" w:type="dxa"/>
          <w:wAfter w:w="62" w:type="dxa"/>
          <w:trHeight w:val="210"/>
        </w:trPr>
        <w:tc>
          <w:tcPr>
            <w:tcW w:w="9540" w:type="dxa"/>
            <w:gridSpan w:val="3"/>
          </w:tcPr>
          <w:tbl>
            <w:tblPr>
              <w:tblW w:w="0" w:type="auto"/>
              <w:tblCellMar>
                <w:left w:w="0" w:type="dxa"/>
                <w:right w:w="0" w:type="dxa"/>
              </w:tblCellMar>
              <w:tblLook w:val="04A0" w:firstRow="1" w:lastRow="0" w:firstColumn="1" w:lastColumn="0" w:noHBand="0" w:noVBand="1"/>
            </w:tblPr>
            <w:tblGrid>
              <w:gridCol w:w="4064"/>
              <w:gridCol w:w="5116"/>
            </w:tblGrid>
            <w:tr w:rsidR="00AD3A24" w:rsidRPr="00910AF3" w:rsidTr="00F303BF">
              <w:tc>
                <w:tcPr>
                  <w:tcW w:w="9180" w:type="dxa"/>
                  <w:gridSpan w:val="2"/>
                  <w:tcBorders>
                    <w:top w:val="nil"/>
                    <w:left w:val="nil"/>
                    <w:bottom w:val="nil"/>
                  </w:tcBorders>
                  <w:tcMar>
                    <w:top w:w="0" w:type="dxa"/>
                    <w:left w:w="108" w:type="dxa"/>
                    <w:bottom w:w="0" w:type="dxa"/>
                    <w:right w:w="108" w:type="dxa"/>
                  </w:tcMar>
                </w:tcPr>
                <w:p w:rsidR="00AD3A24" w:rsidRPr="00910AF3" w:rsidRDefault="00AD3A24" w:rsidP="00F303BF">
                  <w:pPr>
                    <w:rPr>
                      <w:rFonts w:ascii="Calibri" w:hAnsi="Calibri" w:cs="Calibri"/>
                      <w:sz w:val="22"/>
                      <w:szCs w:val="22"/>
                      <w:lang w:val="nl-BE"/>
                    </w:rPr>
                  </w:pPr>
                  <w:r w:rsidRPr="00910AF3">
                    <w:rPr>
                      <w:rFonts w:ascii="Calibri" w:hAnsi="Calibri" w:cs="Calibri"/>
                      <w:sz w:val="22"/>
                      <w:szCs w:val="22"/>
                      <w:lang w:val="nl-BE"/>
                    </w:rPr>
                    <w:t xml:space="preserve">Woordvoerder:  Rik Otten : 02 574 84 08 -  0486 42 90 51 - </w:t>
                  </w:r>
                  <w:hyperlink r:id="rId8" w:history="1">
                    <w:r w:rsidRPr="00910AF3">
                      <w:rPr>
                        <w:rStyle w:val="Hyperlink"/>
                        <w:rFonts w:ascii="Calibri" w:hAnsi="Calibri" w:cs="Calibri"/>
                        <w:sz w:val="22"/>
                        <w:szCs w:val="22"/>
                        <w:lang w:val="nl-BE"/>
                      </w:rPr>
                      <w:t>rik.otten@ckfin.minfin.be</w:t>
                    </w:r>
                  </w:hyperlink>
                </w:p>
                <w:p w:rsidR="00AD3A24" w:rsidRPr="00910AF3" w:rsidRDefault="00AD3A24" w:rsidP="00F303BF">
                  <w:pPr>
                    <w:rPr>
                      <w:rFonts w:ascii="Helvetica" w:hAnsi="Helvetica" w:cs="Helvetica"/>
                      <w:b/>
                      <w:bCs/>
                      <w:color w:val="808080"/>
                      <w:sz w:val="15"/>
                      <w:szCs w:val="15"/>
                      <w:lang w:val="nl-BE" w:eastAsia="nl-BE"/>
                    </w:rPr>
                  </w:pPr>
                </w:p>
              </w:tc>
            </w:tr>
            <w:tr w:rsidR="00AD3A24" w:rsidTr="00F303BF">
              <w:tc>
                <w:tcPr>
                  <w:tcW w:w="4064" w:type="dxa"/>
                  <w:tcBorders>
                    <w:top w:val="nil"/>
                    <w:left w:val="nil"/>
                    <w:bottom w:val="nil"/>
                    <w:right w:val="single" w:sz="8" w:space="0" w:color="808080"/>
                  </w:tcBorders>
                  <w:tcMar>
                    <w:top w:w="0" w:type="dxa"/>
                    <w:left w:w="108" w:type="dxa"/>
                    <w:bottom w:w="0" w:type="dxa"/>
                    <w:right w:w="108" w:type="dxa"/>
                  </w:tcMar>
                  <w:hideMark/>
                </w:tcPr>
                <w:p w:rsidR="00AD3A24" w:rsidRDefault="00AD3A24" w:rsidP="00F303BF">
                  <w:pPr>
                    <w:rPr>
                      <w:szCs w:val="24"/>
                      <w:lang w:val="nl-NL" w:eastAsia="fr-FR"/>
                    </w:rPr>
                  </w:pPr>
                  <w:r>
                    <w:rPr>
                      <w:rFonts w:ascii="Helvetica" w:hAnsi="Helvetica" w:cs="Helvetica"/>
                      <w:b/>
                      <w:bCs/>
                      <w:color w:val="808080"/>
                      <w:sz w:val="15"/>
                      <w:szCs w:val="15"/>
                      <w:lang w:val="nl-NL" w:eastAsia="nl-BE"/>
                    </w:rPr>
                    <w:t xml:space="preserve">Kabinet Steven VANACKERE, </w:t>
                  </w:r>
                  <w:r>
                    <w:rPr>
                      <w:rFonts w:ascii="Helvetica" w:hAnsi="Helvetica" w:cs="Helvetica"/>
                      <w:color w:val="808080"/>
                      <w:sz w:val="15"/>
                      <w:szCs w:val="15"/>
                      <w:lang w:val="nl-NL" w:eastAsia="nl-BE"/>
                    </w:rPr>
                    <w:t>Vice-Eerste Minister</w:t>
                  </w:r>
                </w:p>
                <w:p w:rsidR="00AD3A24" w:rsidRPr="00910AF3" w:rsidRDefault="00AD3A24" w:rsidP="00F303BF">
                  <w:pPr>
                    <w:rPr>
                      <w:rFonts w:ascii="Helvetica" w:hAnsi="Helvetica" w:cs="Helvetica"/>
                      <w:color w:val="1F497D"/>
                      <w:sz w:val="15"/>
                      <w:szCs w:val="15"/>
                      <w:lang w:val="nl-BE" w:eastAsia="nl-BE"/>
                    </w:rPr>
                  </w:pPr>
                  <w:r w:rsidRPr="00910AF3">
                    <w:rPr>
                      <w:rFonts w:ascii="Helvetica" w:hAnsi="Helvetica" w:cs="Helvetica"/>
                      <w:color w:val="808080"/>
                      <w:sz w:val="15"/>
                      <w:szCs w:val="15"/>
                      <w:lang w:val="nl-BE" w:eastAsia="nl-BE"/>
                    </w:rPr>
                    <w:t>en Minister van Financiën en Duurzame Ontwikkeling</w:t>
                  </w:r>
                  <w:r w:rsidRPr="00910AF3">
                    <w:rPr>
                      <w:rFonts w:ascii="Helvetica" w:hAnsi="Helvetica" w:cs="Helvetica"/>
                      <w:color w:val="808080"/>
                      <w:sz w:val="15"/>
                      <w:szCs w:val="15"/>
                      <w:lang w:val="nl-BE" w:eastAsia="nl-BE"/>
                    </w:rPr>
                    <w:br/>
                  </w:r>
                  <w:r>
                    <w:rPr>
                      <w:rFonts w:ascii="Helvetica" w:hAnsi="Helvetica" w:cs="Helvetica"/>
                      <w:color w:val="808080"/>
                      <w:sz w:val="15"/>
                      <w:szCs w:val="15"/>
                      <w:lang w:val="nl-NL" w:eastAsia="nl-BE"/>
                    </w:rPr>
                    <w:t>Wetstraat 12</w:t>
                  </w:r>
                </w:p>
                <w:p w:rsidR="00AD3A24" w:rsidRDefault="00AD3A24" w:rsidP="00F303BF">
                  <w:pPr>
                    <w:rPr>
                      <w:lang w:eastAsia="fr-FR"/>
                    </w:rPr>
                  </w:pPr>
                  <w:r>
                    <w:rPr>
                      <w:rFonts w:ascii="Helvetica" w:hAnsi="Helvetica" w:cs="Helvetica"/>
                      <w:color w:val="808080"/>
                      <w:sz w:val="15"/>
                      <w:szCs w:val="15"/>
                      <w:lang w:eastAsia="nl-BE"/>
                    </w:rPr>
                    <w:t>1000 Brussel</w:t>
                  </w:r>
                </w:p>
              </w:tc>
              <w:tc>
                <w:tcPr>
                  <w:tcW w:w="5116" w:type="dxa"/>
                  <w:tcMar>
                    <w:top w:w="0" w:type="dxa"/>
                    <w:left w:w="108" w:type="dxa"/>
                    <w:bottom w:w="0" w:type="dxa"/>
                    <w:right w:w="108" w:type="dxa"/>
                  </w:tcMar>
                  <w:hideMark/>
                </w:tcPr>
                <w:p w:rsidR="00AD3A24" w:rsidRDefault="00AD3A24" w:rsidP="00F303BF">
                  <w:pPr>
                    <w:rPr>
                      <w:szCs w:val="24"/>
                      <w:lang w:eastAsia="fr-FR"/>
                    </w:rPr>
                  </w:pPr>
                  <w:r>
                    <w:rPr>
                      <w:rFonts w:ascii="Helvetica" w:hAnsi="Helvetica" w:cs="Helvetica"/>
                      <w:b/>
                      <w:bCs/>
                      <w:color w:val="808080"/>
                      <w:sz w:val="15"/>
                      <w:szCs w:val="15"/>
                      <w:lang w:val="fr-BE" w:eastAsia="nl-BE"/>
                    </w:rPr>
                    <w:t xml:space="preserve">Cabinet Steven VANACKERE, </w:t>
                  </w:r>
                  <w:r>
                    <w:rPr>
                      <w:rFonts w:ascii="Helvetica" w:hAnsi="Helvetica" w:cs="Helvetica"/>
                      <w:color w:val="808080"/>
                      <w:sz w:val="15"/>
                      <w:szCs w:val="15"/>
                      <w:lang w:val="fr-BE" w:eastAsia="nl-BE"/>
                    </w:rPr>
                    <w:t>Vice-Premier Ministre</w:t>
                  </w:r>
                </w:p>
                <w:p w:rsidR="00AD3A24" w:rsidRDefault="00AD3A24" w:rsidP="00F303BF">
                  <w:pPr>
                    <w:rPr>
                      <w:rFonts w:ascii="Helvetica" w:hAnsi="Helvetica" w:cs="Helvetica"/>
                      <w:color w:val="1F497D"/>
                      <w:sz w:val="15"/>
                      <w:szCs w:val="15"/>
                      <w:lang w:val="fr-BE" w:eastAsia="nl-BE"/>
                    </w:rPr>
                  </w:pPr>
                  <w:r>
                    <w:rPr>
                      <w:rFonts w:ascii="Helvetica" w:hAnsi="Helvetica" w:cs="Helvetica"/>
                      <w:color w:val="808080"/>
                      <w:sz w:val="15"/>
                      <w:szCs w:val="15"/>
                      <w:lang w:val="fr-BE" w:eastAsia="nl-BE"/>
                    </w:rPr>
                    <w:t>et Ministre des Finances et du Développement durable</w:t>
                  </w:r>
                </w:p>
                <w:p w:rsidR="00AD3A24" w:rsidRDefault="00AD3A24" w:rsidP="00F303BF">
                  <w:pPr>
                    <w:rPr>
                      <w:rFonts w:ascii="Helvetica" w:hAnsi="Helvetica" w:cs="Helvetica"/>
                      <w:color w:val="808080"/>
                      <w:sz w:val="15"/>
                      <w:szCs w:val="15"/>
                      <w:lang w:val="fr-BE" w:eastAsia="nl-BE"/>
                    </w:rPr>
                  </w:pPr>
                  <w:r>
                    <w:rPr>
                      <w:rFonts w:ascii="Helvetica" w:hAnsi="Helvetica" w:cs="Helvetica"/>
                      <w:color w:val="808080"/>
                      <w:sz w:val="15"/>
                      <w:szCs w:val="15"/>
                      <w:lang w:val="fr-BE" w:eastAsia="nl-BE"/>
                    </w:rPr>
                    <w:t>Rue de la Loi 12</w:t>
                  </w:r>
                </w:p>
                <w:p w:rsidR="00AD3A24" w:rsidRDefault="00AD3A24" w:rsidP="00F303BF">
                  <w:pPr>
                    <w:rPr>
                      <w:lang w:eastAsia="fr-FR"/>
                    </w:rPr>
                  </w:pPr>
                  <w:r>
                    <w:rPr>
                      <w:rFonts w:ascii="Helvetica" w:hAnsi="Helvetica" w:cs="Helvetica"/>
                      <w:color w:val="808080"/>
                      <w:sz w:val="15"/>
                      <w:szCs w:val="15"/>
                      <w:lang w:val="fr-BE" w:eastAsia="nl-BE"/>
                    </w:rPr>
                    <w:t>1000 Bruxelles</w:t>
                  </w:r>
                </w:p>
              </w:tc>
            </w:tr>
          </w:tbl>
          <w:p w:rsidR="00AD3A24" w:rsidRPr="00910AF3" w:rsidRDefault="00AD3A24" w:rsidP="00F303BF">
            <w:pPr>
              <w:rPr>
                <w:lang w:val="fr-BE"/>
              </w:rPr>
            </w:pPr>
          </w:p>
        </w:tc>
        <w:tc>
          <w:tcPr>
            <w:tcW w:w="900" w:type="dxa"/>
          </w:tcPr>
          <w:p w:rsidR="00AD3A24" w:rsidRPr="00910AF3" w:rsidRDefault="00AD3A24" w:rsidP="00F303BF">
            <w:pPr>
              <w:jc w:val="right"/>
              <w:rPr>
                <w:sz w:val="22"/>
                <w:lang w:val="fr-BE"/>
              </w:rPr>
            </w:pPr>
          </w:p>
          <w:p w:rsidR="00AD3A24" w:rsidRDefault="00AD3A24" w:rsidP="00F303BF">
            <w:pPr>
              <w:jc w:val="right"/>
              <w:rPr>
                <w:sz w:val="22"/>
                <w:lang w:val="nl-BE"/>
              </w:rPr>
            </w:pPr>
            <w:r>
              <w:rPr>
                <w:noProof/>
                <w:sz w:val="22"/>
                <w:lang w:val="en-US" w:eastAsia="en-US"/>
              </w:rPr>
              <w:drawing>
                <wp:inline distT="0" distB="0" distL="0" distR="0" wp14:anchorId="428BEBA4" wp14:editId="0CDBDDCE">
                  <wp:extent cx="419100" cy="266700"/>
                  <wp:effectExtent l="0" t="0" r="0" b="0"/>
                  <wp:docPr id="2" name="Afbeelding 2"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p>
          <w:p w:rsidR="00AD3A24" w:rsidRDefault="00AD3A24" w:rsidP="00F303BF">
            <w:pPr>
              <w:jc w:val="right"/>
              <w:rPr>
                <w:rFonts w:ascii="Arial" w:hAnsi="Arial"/>
                <w:sz w:val="16"/>
                <w:lang w:val="nl-BE"/>
              </w:rPr>
            </w:pPr>
          </w:p>
        </w:tc>
      </w:tr>
      <w:tr w:rsidR="00AD3A24" w:rsidTr="00AD3A24">
        <w:trPr>
          <w:gridAfter w:val="1"/>
          <w:wAfter w:w="26" w:type="dxa"/>
          <w:cantSplit/>
          <w:trHeight w:val="979"/>
        </w:trPr>
        <w:tc>
          <w:tcPr>
            <w:tcW w:w="10546" w:type="dxa"/>
            <w:gridSpan w:val="6"/>
            <w:vAlign w:val="center"/>
          </w:tcPr>
          <w:p w:rsidR="00AD3A24" w:rsidRDefault="00AD3A24" w:rsidP="00AD3A24">
            <w:pPr>
              <w:tabs>
                <w:tab w:val="left" w:pos="2268"/>
                <w:tab w:val="left" w:pos="4534"/>
                <w:tab w:val="left" w:pos="7370"/>
              </w:tabs>
              <w:spacing w:line="260" w:lineRule="exact"/>
              <w:jc w:val="both"/>
              <w:rPr>
                <w:rFonts w:ascii="Calibri" w:hAnsi="Calibri" w:cs="Calibri"/>
                <w:sz w:val="22"/>
                <w:lang w:val="nl-BE"/>
              </w:rPr>
            </w:pPr>
          </w:p>
        </w:tc>
      </w:tr>
    </w:tbl>
    <w:p w:rsidR="00037281" w:rsidRPr="003E0EF6" w:rsidRDefault="00037281" w:rsidP="00AD3A24">
      <w:pPr>
        <w:tabs>
          <w:tab w:val="left" w:pos="2268"/>
          <w:tab w:val="left" w:pos="4534"/>
          <w:tab w:val="left" w:pos="7370"/>
        </w:tabs>
        <w:spacing w:line="260" w:lineRule="exact"/>
        <w:jc w:val="both"/>
        <w:rPr>
          <w:rFonts w:ascii="Calibri" w:hAnsi="Calibri" w:cs="Calibri"/>
          <w:sz w:val="22"/>
          <w:lang w:val="nl-BE"/>
        </w:rPr>
      </w:pPr>
    </w:p>
    <w:sectPr w:rsidR="00037281" w:rsidRPr="003E0EF6" w:rsidSect="00AD3A24">
      <w:headerReference w:type="default" r:id="rId10"/>
      <w:footerReference w:type="default" r:id="rId11"/>
      <w:pgSz w:w="11906" w:h="16838" w:code="9"/>
      <w:pgMar w:top="357" w:right="737" w:bottom="1134" w:left="73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F3" w:rsidRDefault="00910AF3">
      <w:r>
        <w:separator/>
      </w:r>
    </w:p>
  </w:endnote>
  <w:endnote w:type="continuationSeparator" w:id="0">
    <w:p w:rsidR="00910AF3" w:rsidRDefault="0091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CellMar>
        <w:left w:w="70" w:type="dxa"/>
        <w:right w:w="70" w:type="dxa"/>
      </w:tblCellMar>
      <w:tblLook w:val="0000" w:firstRow="0" w:lastRow="0" w:firstColumn="0" w:lastColumn="0" w:noHBand="0" w:noVBand="0"/>
    </w:tblPr>
    <w:tblGrid>
      <w:gridCol w:w="9540"/>
      <w:gridCol w:w="900"/>
      <w:gridCol w:w="62"/>
    </w:tblGrid>
    <w:tr w:rsidR="00037281" w:rsidTr="00753D0D">
      <w:trPr>
        <w:cantSplit/>
        <w:trHeight w:val="354"/>
      </w:trPr>
      <w:tc>
        <w:tcPr>
          <w:tcW w:w="10502" w:type="dxa"/>
          <w:gridSpan w:val="3"/>
          <w:tcBorders>
            <w:top w:val="single" w:sz="4" w:space="0" w:color="auto"/>
          </w:tcBorders>
        </w:tcPr>
        <w:p w:rsidR="00037281" w:rsidRDefault="00037281" w:rsidP="00753D0D">
          <w:pPr>
            <w:jc w:val="center"/>
            <w:rPr>
              <w:rFonts w:ascii="Arial" w:hAnsi="Arial"/>
              <w:sz w:val="16"/>
              <w:lang w:val="nl-BE"/>
            </w:rPr>
          </w:pPr>
        </w:p>
      </w:tc>
    </w:tr>
    <w:tr w:rsidR="00037281" w:rsidTr="00753D0D">
      <w:trPr>
        <w:gridAfter w:val="1"/>
        <w:wAfter w:w="62" w:type="dxa"/>
        <w:trHeight w:val="210"/>
      </w:trPr>
      <w:tc>
        <w:tcPr>
          <w:tcW w:w="9540" w:type="dxa"/>
        </w:tcPr>
        <w:tbl>
          <w:tblPr>
            <w:tblW w:w="0" w:type="auto"/>
            <w:tblCellMar>
              <w:left w:w="0" w:type="dxa"/>
              <w:right w:w="0" w:type="dxa"/>
            </w:tblCellMar>
            <w:tblLook w:val="04A0" w:firstRow="1" w:lastRow="0" w:firstColumn="1" w:lastColumn="0" w:noHBand="0" w:noVBand="1"/>
          </w:tblPr>
          <w:tblGrid>
            <w:gridCol w:w="4064"/>
            <w:gridCol w:w="5116"/>
          </w:tblGrid>
          <w:tr w:rsidR="00037281" w:rsidRPr="00910AF3" w:rsidTr="00753D0D">
            <w:tc>
              <w:tcPr>
                <w:tcW w:w="9180" w:type="dxa"/>
                <w:gridSpan w:val="2"/>
                <w:tcBorders>
                  <w:top w:val="nil"/>
                  <w:left w:val="nil"/>
                  <w:bottom w:val="nil"/>
                </w:tcBorders>
                <w:tcMar>
                  <w:top w:w="0" w:type="dxa"/>
                  <w:left w:w="108" w:type="dxa"/>
                  <w:bottom w:w="0" w:type="dxa"/>
                  <w:right w:w="108" w:type="dxa"/>
                </w:tcMar>
              </w:tcPr>
              <w:p w:rsidR="00037281" w:rsidRPr="00910AF3" w:rsidRDefault="00037281" w:rsidP="00753D0D">
                <w:pPr>
                  <w:rPr>
                    <w:rFonts w:ascii="Calibri" w:hAnsi="Calibri" w:cs="Calibri"/>
                    <w:sz w:val="22"/>
                    <w:szCs w:val="22"/>
                    <w:lang w:val="nl-BE"/>
                  </w:rPr>
                </w:pPr>
                <w:r w:rsidRPr="00910AF3">
                  <w:rPr>
                    <w:rFonts w:ascii="Calibri" w:hAnsi="Calibri" w:cs="Calibri"/>
                    <w:sz w:val="22"/>
                    <w:szCs w:val="22"/>
                    <w:lang w:val="nl-BE"/>
                  </w:rPr>
                  <w:t xml:space="preserve">Woordvoerder:  Rik Otten : 02 574 84 08 -  0486 42 90 51 - </w:t>
                </w:r>
                <w:hyperlink r:id="rId1" w:history="1">
                  <w:r w:rsidRPr="00910AF3">
                    <w:rPr>
                      <w:rStyle w:val="Hyperlink"/>
                      <w:rFonts w:ascii="Calibri" w:hAnsi="Calibri" w:cs="Calibri"/>
                      <w:sz w:val="22"/>
                      <w:szCs w:val="22"/>
                      <w:lang w:val="nl-BE"/>
                    </w:rPr>
                    <w:t>rik.otten@ckfin.minfin.be</w:t>
                  </w:r>
                </w:hyperlink>
              </w:p>
              <w:p w:rsidR="00037281" w:rsidRPr="00910AF3" w:rsidRDefault="00037281" w:rsidP="00753D0D">
                <w:pPr>
                  <w:rPr>
                    <w:rFonts w:ascii="Helvetica" w:hAnsi="Helvetica" w:cs="Helvetica"/>
                    <w:b/>
                    <w:bCs/>
                    <w:color w:val="808080"/>
                    <w:sz w:val="15"/>
                    <w:szCs w:val="15"/>
                    <w:lang w:val="nl-BE" w:eastAsia="nl-BE"/>
                  </w:rPr>
                </w:pPr>
              </w:p>
            </w:tc>
          </w:tr>
          <w:tr w:rsidR="00037281" w:rsidTr="00753D0D">
            <w:tc>
              <w:tcPr>
                <w:tcW w:w="4064" w:type="dxa"/>
                <w:tcBorders>
                  <w:top w:val="nil"/>
                  <w:left w:val="nil"/>
                  <w:bottom w:val="nil"/>
                  <w:right w:val="single" w:sz="8" w:space="0" w:color="808080"/>
                </w:tcBorders>
                <w:tcMar>
                  <w:top w:w="0" w:type="dxa"/>
                  <w:left w:w="108" w:type="dxa"/>
                  <w:bottom w:w="0" w:type="dxa"/>
                  <w:right w:w="108" w:type="dxa"/>
                </w:tcMar>
                <w:hideMark/>
              </w:tcPr>
              <w:p w:rsidR="00037281" w:rsidRDefault="00037281" w:rsidP="00753D0D">
                <w:pPr>
                  <w:rPr>
                    <w:szCs w:val="24"/>
                    <w:lang w:val="nl-NL" w:eastAsia="fr-FR"/>
                  </w:rPr>
                </w:pPr>
                <w:r>
                  <w:rPr>
                    <w:rFonts w:ascii="Helvetica" w:hAnsi="Helvetica" w:cs="Helvetica"/>
                    <w:b/>
                    <w:bCs/>
                    <w:color w:val="808080"/>
                    <w:sz w:val="15"/>
                    <w:szCs w:val="15"/>
                    <w:lang w:val="nl-NL" w:eastAsia="nl-BE"/>
                  </w:rPr>
                  <w:t xml:space="preserve">Kabinet Steven VANACKERE, </w:t>
                </w:r>
                <w:r>
                  <w:rPr>
                    <w:rFonts w:ascii="Helvetica" w:hAnsi="Helvetica" w:cs="Helvetica"/>
                    <w:color w:val="808080"/>
                    <w:sz w:val="15"/>
                    <w:szCs w:val="15"/>
                    <w:lang w:val="nl-NL" w:eastAsia="nl-BE"/>
                  </w:rPr>
                  <w:t>Vice-Eerste Minister</w:t>
                </w:r>
              </w:p>
              <w:p w:rsidR="00037281" w:rsidRPr="00910AF3" w:rsidRDefault="00037281" w:rsidP="00753D0D">
                <w:pPr>
                  <w:rPr>
                    <w:rFonts w:ascii="Helvetica" w:hAnsi="Helvetica" w:cs="Helvetica"/>
                    <w:color w:val="1F497D"/>
                    <w:sz w:val="15"/>
                    <w:szCs w:val="15"/>
                    <w:lang w:val="nl-BE" w:eastAsia="nl-BE"/>
                  </w:rPr>
                </w:pPr>
                <w:r w:rsidRPr="00910AF3">
                  <w:rPr>
                    <w:rFonts w:ascii="Helvetica" w:hAnsi="Helvetica" w:cs="Helvetica"/>
                    <w:color w:val="808080"/>
                    <w:sz w:val="15"/>
                    <w:szCs w:val="15"/>
                    <w:lang w:val="nl-BE" w:eastAsia="nl-BE"/>
                  </w:rPr>
                  <w:t>en Minister van Financiën en Duurzame Ontwikkeling</w:t>
                </w:r>
                <w:r w:rsidRPr="00910AF3">
                  <w:rPr>
                    <w:rFonts w:ascii="Helvetica" w:hAnsi="Helvetica" w:cs="Helvetica"/>
                    <w:color w:val="808080"/>
                    <w:sz w:val="15"/>
                    <w:szCs w:val="15"/>
                    <w:lang w:val="nl-BE" w:eastAsia="nl-BE"/>
                  </w:rPr>
                  <w:br/>
                </w:r>
                <w:r>
                  <w:rPr>
                    <w:rFonts w:ascii="Helvetica" w:hAnsi="Helvetica" w:cs="Helvetica"/>
                    <w:color w:val="808080"/>
                    <w:sz w:val="15"/>
                    <w:szCs w:val="15"/>
                    <w:lang w:val="nl-NL" w:eastAsia="nl-BE"/>
                  </w:rPr>
                  <w:t>Wetstraat 12</w:t>
                </w:r>
              </w:p>
              <w:p w:rsidR="00037281" w:rsidRDefault="00037281" w:rsidP="00753D0D">
                <w:pPr>
                  <w:rPr>
                    <w:lang w:eastAsia="fr-FR"/>
                  </w:rPr>
                </w:pPr>
                <w:r>
                  <w:rPr>
                    <w:rFonts w:ascii="Helvetica" w:hAnsi="Helvetica" w:cs="Helvetica"/>
                    <w:color w:val="808080"/>
                    <w:sz w:val="15"/>
                    <w:szCs w:val="15"/>
                    <w:lang w:eastAsia="nl-BE"/>
                  </w:rPr>
                  <w:t>1000 Brussel</w:t>
                </w:r>
              </w:p>
            </w:tc>
            <w:tc>
              <w:tcPr>
                <w:tcW w:w="5116" w:type="dxa"/>
                <w:tcMar>
                  <w:top w:w="0" w:type="dxa"/>
                  <w:left w:w="108" w:type="dxa"/>
                  <w:bottom w:w="0" w:type="dxa"/>
                  <w:right w:w="108" w:type="dxa"/>
                </w:tcMar>
                <w:hideMark/>
              </w:tcPr>
              <w:p w:rsidR="00037281" w:rsidRDefault="00037281" w:rsidP="00753D0D">
                <w:pPr>
                  <w:rPr>
                    <w:szCs w:val="24"/>
                    <w:lang w:eastAsia="fr-FR"/>
                  </w:rPr>
                </w:pPr>
                <w:r>
                  <w:rPr>
                    <w:rFonts w:ascii="Helvetica" w:hAnsi="Helvetica" w:cs="Helvetica"/>
                    <w:b/>
                    <w:bCs/>
                    <w:color w:val="808080"/>
                    <w:sz w:val="15"/>
                    <w:szCs w:val="15"/>
                    <w:lang w:val="fr-BE" w:eastAsia="nl-BE"/>
                  </w:rPr>
                  <w:t xml:space="preserve">Cabinet Steven VANACKERE, </w:t>
                </w:r>
                <w:r>
                  <w:rPr>
                    <w:rFonts w:ascii="Helvetica" w:hAnsi="Helvetica" w:cs="Helvetica"/>
                    <w:color w:val="808080"/>
                    <w:sz w:val="15"/>
                    <w:szCs w:val="15"/>
                    <w:lang w:val="fr-BE" w:eastAsia="nl-BE"/>
                  </w:rPr>
                  <w:t>Vice-Premier Ministre</w:t>
                </w:r>
              </w:p>
              <w:p w:rsidR="00037281" w:rsidRDefault="00037281" w:rsidP="00753D0D">
                <w:pPr>
                  <w:rPr>
                    <w:rFonts w:ascii="Helvetica" w:hAnsi="Helvetica" w:cs="Helvetica"/>
                    <w:color w:val="1F497D"/>
                    <w:sz w:val="15"/>
                    <w:szCs w:val="15"/>
                    <w:lang w:val="fr-BE" w:eastAsia="nl-BE"/>
                  </w:rPr>
                </w:pPr>
                <w:r>
                  <w:rPr>
                    <w:rFonts w:ascii="Helvetica" w:hAnsi="Helvetica" w:cs="Helvetica"/>
                    <w:color w:val="808080"/>
                    <w:sz w:val="15"/>
                    <w:szCs w:val="15"/>
                    <w:lang w:val="fr-BE" w:eastAsia="nl-BE"/>
                  </w:rPr>
                  <w:t>et Ministre des Finances et du Développement durable</w:t>
                </w:r>
              </w:p>
              <w:p w:rsidR="00037281" w:rsidRDefault="00037281" w:rsidP="00753D0D">
                <w:pPr>
                  <w:rPr>
                    <w:rFonts w:ascii="Helvetica" w:hAnsi="Helvetica" w:cs="Helvetica"/>
                    <w:color w:val="808080"/>
                    <w:sz w:val="15"/>
                    <w:szCs w:val="15"/>
                    <w:lang w:val="fr-BE" w:eastAsia="nl-BE"/>
                  </w:rPr>
                </w:pPr>
                <w:r>
                  <w:rPr>
                    <w:rFonts w:ascii="Helvetica" w:hAnsi="Helvetica" w:cs="Helvetica"/>
                    <w:color w:val="808080"/>
                    <w:sz w:val="15"/>
                    <w:szCs w:val="15"/>
                    <w:lang w:val="fr-BE" w:eastAsia="nl-BE"/>
                  </w:rPr>
                  <w:t>Rue de la Loi 12</w:t>
                </w:r>
              </w:p>
              <w:p w:rsidR="00037281" w:rsidRDefault="00037281" w:rsidP="00753D0D">
                <w:pPr>
                  <w:rPr>
                    <w:lang w:eastAsia="fr-FR"/>
                  </w:rPr>
                </w:pPr>
                <w:r>
                  <w:rPr>
                    <w:rFonts w:ascii="Helvetica" w:hAnsi="Helvetica" w:cs="Helvetica"/>
                    <w:color w:val="808080"/>
                    <w:sz w:val="15"/>
                    <w:szCs w:val="15"/>
                    <w:lang w:val="fr-BE" w:eastAsia="nl-BE"/>
                  </w:rPr>
                  <w:t>1000 Bruxelles</w:t>
                </w:r>
              </w:p>
            </w:tc>
          </w:tr>
        </w:tbl>
        <w:p w:rsidR="00037281" w:rsidRPr="00910AF3" w:rsidRDefault="00037281" w:rsidP="00753D0D">
          <w:pPr>
            <w:rPr>
              <w:lang w:val="fr-BE"/>
            </w:rPr>
          </w:pPr>
        </w:p>
      </w:tc>
      <w:tc>
        <w:tcPr>
          <w:tcW w:w="900" w:type="dxa"/>
        </w:tcPr>
        <w:p w:rsidR="00037281" w:rsidRPr="00910AF3" w:rsidRDefault="00037281" w:rsidP="00753D0D">
          <w:pPr>
            <w:jc w:val="right"/>
            <w:rPr>
              <w:sz w:val="22"/>
              <w:lang w:val="fr-BE"/>
            </w:rPr>
          </w:pPr>
        </w:p>
        <w:p w:rsidR="00037281" w:rsidRDefault="00BA2A95" w:rsidP="00753D0D">
          <w:pPr>
            <w:jc w:val="right"/>
            <w:rPr>
              <w:sz w:val="22"/>
              <w:lang w:val="nl-BE"/>
            </w:rPr>
          </w:pPr>
          <w:r>
            <w:rPr>
              <w:noProof/>
              <w:sz w:val="22"/>
              <w:lang w:val="en-US" w:eastAsia="en-US"/>
            </w:rPr>
            <w:drawing>
              <wp:inline distT="0" distB="0" distL="0" distR="0" wp14:anchorId="7C982849" wp14:editId="744E7486">
                <wp:extent cx="419100" cy="266700"/>
                <wp:effectExtent l="0" t="0" r="0" b="0"/>
                <wp:docPr id="11" name="Afbeelding 11"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p>
        <w:p w:rsidR="00037281" w:rsidRDefault="00037281" w:rsidP="00753D0D">
          <w:pPr>
            <w:jc w:val="right"/>
            <w:rPr>
              <w:rFonts w:ascii="Arial" w:hAnsi="Arial"/>
              <w:sz w:val="16"/>
              <w:lang w:val="nl-BE"/>
            </w:rPr>
          </w:pPr>
        </w:p>
      </w:tc>
    </w:tr>
  </w:tbl>
  <w:p w:rsidR="00037281" w:rsidRDefault="00037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F3" w:rsidRDefault="00910AF3">
      <w:r>
        <w:separator/>
      </w:r>
    </w:p>
  </w:footnote>
  <w:footnote w:type="continuationSeparator" w:id="0">
    <w:p w:rsidR="00910AF3" w:rsidRDefault="00910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04" w:rsidRDefault="00137804">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F3"/>
    <w:rsid w:val="00000E5A"/>
    <w:rsid w:val="00037281"/>
    <w:rsid w:val="00041F3B"/>
    <w:rsid w:val="000638F3"/>
    <w:rsid w:val="000F1782"/>
    <w:rsid w:val="00105600"/>
    <w:rsid w:val="00124337"/>
    <w:rsid w:val="00137804"/>
    <w:rsid w:val="0024476F"/>
    <w:rsid w:val="00301FC0"/>
    <w:rsid w:val="003337EE"/>
    <w:rsid w:val="003440D9"/>
    <w:rsid w:val="0037230B"/>
    <w:rsid w:val="00386148"/>
    <w:rsid w:val="003E0EF6"/>
    <w:rsid w:val="00407997"/>
    <w:rsid w:val="00430003"/>
    <w:rsid w:val="0043022C"/>
    <w:rsid w:val="004E21B9"/>
    <w:rsid w:val="0050493D"/>
    <w:rsid w:val="0069567E"/>
    <w:rsid w:val="00793CEF"/>
    <w:rsid w:val="007C01DF"/>
    <w:rsid w:val="00800991"/>
    <w:rsid w:val="0089329B"/>
    <w:rsid w:val="008E7001"/>
    <w:rsid w:val="00910AF3"/>
    <w:rsid w:val="009701EA"/>
    <w:rsid w:val="00981B9C"/>
    <w:rsid w:val="00A25165"/>
    <w:rsid w:val="00A779D8"/>
    <w:rsid w:val="00AD3A24"/>
    <w:rsid w:val="00B308D2"/>
    <w:rsid w:val="00B327BE"/>
    <w:rsid w:val="00B769D4"/>
    <w:rsid w:val="00BA2A95"/>
    <w:rsid w:val="00C40301"/>
    <w:rsid w:val="00C67E81"/>
    <w:rsid w:val="00CD74B1"/>
    <w:rsid w:val="00D76FC9"/>
    <w:rsid w:val="00D92ECC"/>
    <w:rsid w:val="00DD3C8A"/>
    <w:rsid w:val="00DF2052"/>
    <w:rsid w:val="00EA7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nl-NL"/>
    </w:rPr>
  </w:style>
  <w:style w:type="paragraph" w:styleId="Heading1">
    <w:name w:val="heading 1"/>
    <w:basedOn w:val="Normal"/>
    <w:next w:val="Normal"/>
    <w:qFormat/>
    <w:pPr>
      <w:keepNext/>
      <w:outlineLvl w:val="0"/>
    </w:pPr>
    <w:rPr>
      <w:b/>
      <w:lang w:val="nl-NL"/>
    </w:rPr>
  </w:style>
  <w:style w:type="paragraph" w:styleId="Heading2">
    <w:name w:val="heading 2"/>
    <w:basedOn w:val="Normal"/>
    <w:next w:val="Normal"/>
    <w:qFormat/>
    <w:pPr>
      <w:keepNext/>
      <w:outlineLvl w:val="1"/>
    </w:pPr>
    <w:rPr>
      <w:rFonts w:ascii="Arial" w:hAnsi="Arial"/>
      <w:b/>
      <w:sz w:val="22"/>
      <w:lang w:val="nl-NL"/>
    </w:rPr>
  </w:style>
  <w:style w:type="paragraph" w:styleId="Heading3">
    <w:name w:val="heading 3"/>
    <w:basedOn w:val="Normal"/>
    <w:next w:val="Normal"/>
    <w:qFormat/>
    <w:pPr>
      <w:keepNext/>
      <w:jc w:val="center"/>
      <w:outlineLvl w:val="2"/>
    </w:pPr>
    <w:rPr>
      <w:rFonts w:ascii="Arial" w:hAnsi="Arial"/>
      <w:b/>
      <w:caps/>
      <w:sz w:val="20"/>
    </w:rPr>
  </w:style>
  <w:style w:type="paragraph" w:styleId="Heading4">
    <w:name w:val="heading 4"/>
    <w:basedOn w:val="Normal"/>
    <w:next w:val="Normal"/>
    <w:qFormat/>
    <w:pPr>
      <w:keepNext/>
      <w:outlineLvl w:val="3"/>
    </w:pPr>
    <w:rPr>
      <w:rFonts w:ascii="Arial" w:hAnsi="Arial"/>
      <w:sz w:val="18"/>
      <w:u w:val="single"/>
    </w:rPr>
  </w:style>
  <w:style w:type="paragraph" w:styleId="Heading5">
    <w:name w:val="heading 5"/>
    <w:basedOn w:val="Normal"/>
    <w:next w:val="Normal"/>
    <w:qFormat/>
    <w:pPr>
      <w:keepNext/>
      <w:jc w:val="right"/>
      <w:outlineLvl w:val="4"/>
    </w:pPr>
    <w:rPr>
      <w:rFonts w:ascii="Arial" w:hAnsi="Arial"/>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ind w:left="720"/>
    </w:pPr>
    <w:rPr>
      <w:rFonts w:ascii="Arial" w:hAnsi="Arial"/>
      <w:sz w:val="22"/>
    </w:rPr>
  </w:style>
  <w:style w:type="paragraph" w:styleId="BalloonText">
    <w:name w:val="Balloon Text"/>
    <w:basedOn w:val="Normal"/>
    <w:link w:val="BalloonTextChar"/>
    <w:rsid w:val="00430003"/>
    <w:rPr>
      <w:rFonts w:ascii="Tahoma" w:hAnsi="Tahoma" w:cs="Tahoma"/>
      <w:sz w:val="16"/>
      <w:szCs w:val="16"/>
    </w:rPr>
  </w:style>
  <w:style w:type="character" w:customStyle="1" w:styleId="BalloonTextChar">
    <w:name w:val="Balloon Text Char"/>
    <w:link w:val="BalloonText"/>
    <w:rsid w:val="00430003"/>
    <w:rPr>
      <w:rFonts w:ascii="Tahoma" w:hAnsi="Tahoma" w:cs="Tahoma"/>
      <w:sz w:val="16"/>
      <w:szCs w:val="16"/>
      <w:lang w:val="fr-FR"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nl-NL"/>
    </w:rPr>
  </w:style>
  <w:style w:type="paragraph" w:styleId="Heading1">
    <w:name w:val="heading 1"/>
    <w:basedOn w:val="Normal"/>
    <w:next w:val="Normal"/>
    <w:qFormat/>
    <w:pPr>
      <w:keepNext/>
      <w:outlineLvl w:val="0"/>
    </w:pPr>
    <w:rPr>
      <w:b/>
      <w:lang w:val="nl-NL"/>
    </w:rPr>
  </w:style>
  <w:style w:type="paragraph" w:styleId="Heading2">
    <w:name w:val="heading 2"/>
    <w:basedOn w:val="Normal"/>
    <w:next w:val="Normal"/>
    <w:qFormat/>
    <w:pPr>
      <w:keepNext/>
      <w:outlineLvl w:val="1"/>
    </w:pPr>
    <w:rPr>
      <w:rFonts w:ascii="Arial" w:hAnsi="Arial"/>
      <w:b/>
      <w:sz w:val="22"/>
      <w:lang w:val="nl-NL"/>
    </w:rPr>
  </w:style>
  <w:style w:type="paragraph" w:styleId="Heading3">
    <w:name w:val="heading 3"/>
    <w:basedOn w:val="Normal"/>
    <w:next w:val="Normal"/>
    <w:qFormat/>
    <w:pPr>
      <w:keepNext/>
      <w:jc w:val="center"/>
      <w:outlineLvl w:val="2"/>
    </w:pPr>
    <w:rPr>
      <w:rFonts w:ascii="Arial" w:hAnsi="Arial"/>
      <w:b/>
      <w:caps/>
      <w:sz w:val="20"/>
    </w:rPr>
  </w:style>
  <w:style w:type="paragraph" w:styleId="Heading4">
    <w:name w:val="heading 4"/>
    <w:basedOn w:val="Normal"/>
    <w:next w:val="Normal"/>
    <w:qFormat/>
    <w:pPr>
      <w:keepNext/>
      <w:outlineLvl w:val="3"/>
    </w:pPr>
    <w:rPr>
      <w:rFonts w:ascii="Arial" w:hAnsi="Arial"/>
      <w:sz w:val="18"/>
      <w:u w:val="single"/>
    </w:rPr>
  </w:style>
  <w:style w:type="paragraph" w:styleId="Heading5">
    <w:name w:val="heading 5"/>
    <w:basedOn w:val="Normal"/>
    <w:next w:val="Normal"/>
    <w:qFormat/>
    <w:pPr>
      <w:keepNext/>
      <w:jc w:val="right"/>
      <w:outlineLvl w:val="4"/>
    </w:pPr>
    <w:rPr>
      <w:rFonts w:ascii="Arial" w:hAnsi="Arial"/>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ind w:left="720"/>
    </w:pPr>
    <w:rPr>
      <w:rFonts w:ascii="Arial" w:hAnsi="Arial"/>
      <w:sz w:val="22"/>
    </w:rPr>
  </w:style>
  <w:style w:type="paragraph" w:styleId="BalloonText">
    <w:name w:val="Balloon Text"/>
    <w:basedOn w:val="Normal"/>
    <w:link w:val="BalloonTextChar"/>
    <w:rsid w:val="00430003"/>
    <w:rPr>
      <w:rFonts w:ascii="Tahoma" w:hAnsi="Tahoma" w:cs="Tahoma"/>
      <w:sz w:val="16"/>
      <w:szCs w:val="16"/>
    </w:rPr>
  </w:style>
  <w:style w:type="character" w:customStyle="1" w:styleId="BalloonTextChar">
    <w:name w:val="Balloon Text Char"/>
    <w:link w:val="BalloonText"/>
    <w:rsid w:val="00430003"/>
    <w:rPr>
      <w:rFonts w:ascii="Tahoma" w:hAnsi="Tahoma" w:cs="Tahoma"/>
      <w:sz w:val="16"/>
      <w:szCs w:val="16"/>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k.otten@ckfin.minfin.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rik.otten@ckfin.minfi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2561</Characters>
  <Application>Microsoft Office Word</Application>
  <DocSecurity>4</DocSecurity>
  <Lines>21</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lpstr>
    </vt:vector>
  </TitlesOfParts>
  <Company>Minfin</Company>
  <LinksUpToDate>false</LinksUpToDate>
  <CharactersWithSpaces>3004</CharactersWithSpaces>
  <SharedDoc>false</SharedDoc>
  <HLinks>
    <vt:vector size="6" baseType="variant">
      <vt:variant>
        <vt:i4>7733338</vt:i4>
      </vt:variant>
      <vt:variant>
        <vt:i4>0</vt:i4>
      </vt:variant>
      <vt:variant>
        <vt:i4>0</vt:i4>
      </vt:variant>
      <vt:variant>
        <vt:i4>5</vt:i4>
      </vt:variant>
      <vt:variant>
        <vt:lpwstr>mailto:eric.gillard@minfin.fed.be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Otten</dc:creator>
  <cp:lastModifiedBy>Delafortrie Sarah</cp:lastModifiedBy>
  <cp:revision>2</cp:revision>
  <cp:lastPrinted>2011-12-08T08:50:00Z</cp:lastPrinted>
  <dcterms:created xsi:type="dcterms:W3CDTF">2012-07-20T09:09:00Z</dcterms:created>
  <dcterms:modified xsi:type="dcterms:W3CDTF">2012-07-20T09:09:00Z</dcterms:modified>
</cp:coreProperties>
</file>